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R4-2521748</w:t>
      </w:r>
      <w:bookmarkStart w:id="5" w:name="_GoBack"/>
      <w:bookmarkEnd w:id="5"/>
      <w:r>
        <w:rPr>
          <w:rFonts w:hint="eastAsia" w:ascii="Arial" w:hAnsi="Arial" w:cs="Arial"/>
          <w:b/>
          <w:sz w:val="24"/>
          <w:szCs w:val="24"/>
        </w:rPr>
        <w:t xml:space="preserve">                       </w:t>
      </w:r>
    </w:p>
    <w:p w14:paraId="63E99DA1">
      <w:pPr>
        <w:jc w:val="left"/>
        <w:rPr>
          <w:rFonts w:ascii="Arial" w:hAnsi="Arial" w:cs="Arial"/>
          <w:b/>
          <w:sz w:val="24"/>
          <w:szCs w:val="24"/>
          <w:lang w:val="en-GB" w:eastAsia="en-GB"/>
        </w:rPr>
      </w:pPr>
      <w:r>
        <w:rPr>
          <w:rFonts w:hint="eastAsia" w:ascii="Arial" w:hAnsi="Arial" w:cs="Arial"/>
          <w:b/>
          <w:sz w:val="24"/>
          <w:szCs w:val="24"/>
          <w:lang w:val="en-US" w:eastAsia="zh-CN"/>
        </w:rPr>
        <w:t>Dallas,</w:t>
      </w:r>
      <w:r>
        <w:rPr>
          <w:rFonts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rPr>
        <w:t>, 1</w:t>
      </w:r>
      <w:r>
        <w:rPr>
          <w:rFonts w:hint="eastAsia" w:ascii="Arial" w:hAnsi="Arial" w:cs="Arial"/>
          <w:b/>
          <w:sz w:val="24"/>
          <w:szCs w:val="24"/>
          <w:lang w:val="en-US" w:eastAsia="zh-CN"/>
        </w:rPr>
        <w:t>7</w:t>
      </w:r>
      <w:r>
        <w:rPr>
          <w:rFonts w:ascii="Arial" w:hAnsi="Arial" w:cs="Arial"/>
          <w:b/>
          <w:sz w:val="24"/>
          <w:szCs w:val="24"/>
        </w:rPr>
        <w:t>th</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lang w:val="en-US" w:eastAsia="zh-CN"/>
        </w:rPr>
        <w:t>21st</w:t>
      </w:r>
      <w:r>
        <w:rPr>
          <w:rFonts w:ascii="Arial" w:hAnsi="Arial" w:cs="Arial"/>
          <w:b/>
          <w:sz w:val="24"/>
          <w:szCs w:val="24"/>
        </w:rPr>
        <w:t xml:space="preserve">, </w:t>
      </w:r>
      <w:r>
        <w:rPr>
          <w:rFonts w:hint="eastAsia" w:ascii="Arial" w:hAnsi="Arial" w:cs="Arial"/>
          <w:b/>
          <w:sz w:val="24"/>
          <w:szCs w:val="24"/>
          <w:lang w:val="en-US" w:eastAsia="zh-CN"/>
        </w:rPr>
        <w:t>Nov</w:t>
      </w:r>
      <w:r>
        <w:rPr>
          <w:rFonts w:hint="eastAsia" w:ascii="Arial" w:hAnsi="Arial" w:cs="Arial"/>
          <w:b/>
          <w:sz w:val="24"/>
          <w:szCs w:val="24"/>
        </w:rPr>
        <w:t xml:space="preserve">. </w:t>
      </w:r>
      <w:r>
        <w:rPr>
          <w:rFonts w:ascii="Arial" w:hAnsi="Arial" w:cs="Arial"/>
          <w:b/>
          <w:sz w:val="24"/>
          <w:szCs w:val="24"/>
        </w:rPr>
        <w:t>202</w:t>
      </w:r>
      <w:r>
        <w:rPr>
          <w:rFonts w:hint="eastAsia" w:ascii="Arial" w:hAnsi="Arial" w:cs="Arial"/>
          <w:b/>
          <w:sz w:val="24"/>
          <w:szCs w:val="24"/>
        </w:rPr>
        <w:t>5</w:t>
      </w:r>
    </w:p>
    <w:p w14:paraId="4C100087">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8.4.2</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734C9C6">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6G</w:t>
      </w:r>
      <w:r>
        <w:rPr>
          <w:rFonts w:hint="eastAsia" w:ascii="Arial" w:hAnsi="Arial" w:cs="Arial"/>
          <w:b/>
          <w:sz w:val="24"/>
          <w:szCs w:val="24"/>
          <w:lang w:val="en-US" w:eastAsia="zh-CN"/>
        </w:rPr>
        <w:t>R NTN BS</w:t>
      </w:r>
      <w:r>
        <w:rPr>
          <w:rFonts w:hint="eastAsia" w:ascii="Arial" w:hAnsi="Arial" w:eastAsia="宋体" w:cs="Arial"/>
          <w:b/>
          <w:sz w:val="24"/>
          <w:szCs w:val="24"/>
          <w:lang w:val="en-US" w:eastAsia="zh-CN"/>
        </w:rPr>
        <w:t xml:space="preserve"> study</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1B4EA74E">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NTN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3BE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3BC40F9">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5681B37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179F52AE">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250C8C04">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2439F39A">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55EF288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1230340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14:paraId="0068EE3F">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14:paraId="49873A6D">
            <w:pPr>
              <w:pStyle w:val="4"/>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rPr>
              <w:t>NTN</w:t>
            </w:r>
          </w:p>
          <w:p w14:paraId="49873A6E">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zh-CN"/>
              </w:rPr>
              <w:t xml:space="preserve">Way Forward: </w:t>
            </w:r>
          </w:p>
          <w:p w14:paraId="49873A6F">
            <w:pPr>
              <w:keepNext w:val="0"/>
              <w:keepLines w:val="0"/>
              <w:suppressLineNumbers w:val="0"/>
              <w:spacing w:before="0" w:beforeAutospacing="0" w:afterAutospacing="0"/>
              <w:ind w:left="0" w:right="0" w:firstLine="284"/>
              <w:rPr>
                <w:rFonts w:hint="default"/>
                <w:szCs w:val="22"/>
                <w:lang w:val="en-US"/>
              </w:rPr>
            </w:pPr>
            <w:r>
              <w:rPr>
                <w:rFonts w:hint="default"/>
                <w:szCs w:val="22"/>
                <w:lang w:val="en-US"/>
              </w:rPr>
              <w:t xml:space="preserve">Additional input from satellite companies is expected for RAN4#117: </w:t>
            </w:r>
          </w:p>
          <w:p w14:paraId="49873A70">
            <w:pPr>
              <w:pStyle w:val="37"/>
              <w:keepNext w:val="0"/>
              <w:keepLines w:val="0"/>
              <w:numPr>
                <w:ilvl w:val="0"/>
                <w:numId w:val="7"/>
              </w:numPr>
              <w:suppressLineNumbers w:val="0"/>
              <w:spacing w:before="0" w:beforeAutospacing="0" w:afterAutospacing="0"/>
              <w:ind w:right="0" w:firstLineChars="0"/>
              <w:rPr>
                <w:rFonts w:hint="default"/>
                <w:szCs w:val="22"/>
                <w:lang w:val="en-US"/>
              </w:rPr>
            </w:pPr>
            <w:r>
              <w:rPr>
                <w:rFonts w:hint="default"/>
                <w:szCs w:val="22"/>
                <w:lang w:val="en-US"/>
              </w:rPr>
              <w:t>List of requirements to be further studied (using the same format proposed in 1.1.2)</w:t>
            </w:r>
          </w:p>
          <w:p w14:paraId="704CF716">
            <w:pPr>
              <w:pStyle w:val="37"/>
              <w:keepNext w:val="0"/>
              <w:keepLines w:val="0"/>
              <w:numPr>
                <w:ilvl w:val="0"/>
                <w:numId w:val="7"/>
              </w:numPr>
              <w:suppressLineNumbers w:val="0"/>
              <w:spacing w:before="0" w:beforeAutospacing="0" w:afterAutospacing="0"/>
              <w:ind w:right="0" w:firstLineChars="0"/>
              <w:rPr>
                <w:rFonts w:hint="default"/>
                <w:color w:val="000000" w:themeColor="text1"/>
                <w:lang w:val="en-US" w:eastAsia="zh-CN"/>
                <w14:textFill>
                  <w14:solidFill>
                    <w14:schemeClr w14:val="tx1"/>
                  </w14:solidFill>
                </w14:textFill>
              </w:rPr>
            </w:pPr>
            <w:r>
              <w:rPr>
                <w:rFonts w:hint="default"/>
                <w:szCs w:val="22"/>
                <w:lang w:val="en-US"/>
              </w:rPr>
              <w:t>List of coexistence studies to be considered (using the format proposed in 1.3.1).</w:t>
            </w:r>
          </w:p>
        </w:tc>
      </w:tr>
    </w:tbl>
    <w:p w14:paraId="008DBA85">
      <w:pPr>
        <w:pStyle w:val="58"/>
        <w:tabs>
          <w:tab w:val="left" w:pos="567"/>
          <w:tab w:val="clear" w:pos="1985"/>
        </w:tabs>
        <w:adjustRightInd w:val="0"/>
        <w:ind w:left="510" w:hanging="510"/>
        <w:rPr>
          <w:rFonts w:eastAsia="Times New Roman"/>
        </w:rPr>
      </w:pPr>
      <w:bookmarkStart w:id="1" w:name="OLE_LINK14"/>
      <w:bookmarkStart w:id="2" w:name="OLE_LINK20"/>
      <w:bookmarkStart w:id="3" w:name="OLE_LINK10"/>
      <w:bookmarkStart w:id="4" w:name="OLE_LINK13"/>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255B9C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w:t>
      </w:r>
      <w:r>
        <w:rPr>
          <w:rFonts w:hint="eastAsia" w:ascii="Arial" w:hAnsi="Arial" w:cs="Arial"/>
          <w:lang w:val="en-US" w:eastAsia="zh-CN"/>
        </w:rPr>
        <w:t>Review of 5G BS/SAN evolution</w:t>
      </w:r>
    </w:p>
    <w:p w14:paraId="1730093E">
      <w:pPr>
        <w:tabs>
          <w:tab w:val="left" w:pos="2127"/>
        </w:tabs>
        <w:spacing w:after="0"/>
        <w:rPr>
          <w:rFonts w:hint="default"/>
          <w:lang w:val="en-US" w:eastAsia="zh-CN"/>
        </w:rPr>
      </w:pPr>
      <w:r>
        <w:rPr>
          <w:rFonts w:hint="eastAsia"/>
          <w:lang w:val="en-US" w:eastAsia="zh-CN"/>
        </w:rPr>
        <w:t xml:space="preserve">In the following Figure 2.1-1, we provide the overview of 5G NR BS RF evolution and study on 7-24GHz for ITU-R WP5D reply LS which has already provided a very good foundation for 6G BS RF requirement. </w:t>
      </w:r>
    </w:p>
    <w:p w14:paraId="12A43B5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00320" cy="5497195"/>
            <wp:effectExtent l="0" t="0" r="5080" b="8255"/>
            <wp:docPr id="1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IMG_256"/>
                    <pic:cNvPicPr>
                      <a:picLocks noChangeAspect="1"/>
                    </pic:cNvPicPr>
                  </pic:nvPicPr>
                  <pic:blipFill>
                    <a:blip r:embed="rId8"/>
                    <a:stretch>
                      <a:fillRect/>
                    </a:stretch>
                  </pic:blipFill>
                  <pic:spPr>
                    <a:xfrm>
                      <a:off x="0" y="0"/>
                      <a:ext cx="5100320" cy="5497195"/>
                    </a:xfrm>
                    <a:prstGeom prst="rect">
                      <a:avLst/>
                    </a:prstGeom>
                    <a:noFill/>
                    <a:ln w="9525">
                      <a:noFill/>
                    </a:ln>
                  </pic:spPr>
                </pic:pic>
              </a:graphicData>
            </a:graphic>
          </wp:inline>
        </w:drawing>
      </w:r>
    </w:p>
    <w:p w14:paraId="563D8B36">
      <w:pPr>
        <w:tabs>
          <w:tab w:val="left" w:pos="2127"/>
        </w:tabs>
        <w:spacing w:after="0"/>
        <w:jc w:val="center"/>
        <w:rPr>
          <w:rFonts w:hint="eastAsia"/>
          <w:lang w:val="en-US" w:eastAsia="zh-CN"/>
        </w:rPr>
      </w:pPr>
      <w:r>
        <w:rPr>
          <w:rFonts w:hint="eastAsia"/>
          <w:lang w:val="en-US" w:eastAsia="zh-CN"/>
        </w:rPr>
        <w:t>Figure 2.1-1. The review of 5G NR BS evolution from Rel-15 to Rel-20</w:t>
      </w:r>
    </w:p>
    <w:p w14:paraId="3443D912">
      <w:pPr>
        <w:tabs>
          <w:tab w:val="left" w:pos="2127"/>
        </w:tabs>
        <w:spacing w:after="0"/>
        <w:rPr>
          <w:rFonts w:hint="eastAsia"/>
          <w:lang w:val="en-US" w:eastAsia="zh-CN"/>
        </w:rPr>
      </w:pPr>
      <w:r>
        <w:rPr>
          <w:rFonts w:hint="eastAsia"/>
          <w:b/>
          <w:bCs/>
          <w:lang w:val="en-US" w:eastAsia="zh-CN"/>
        </w:rPr>
        <w:t>Proposal 1</w:t>
      </w:r>
      <w:r>
        <w:rPr>
          <w:rFonts w:hint="eastAsia"/>
          <w:lang w:val="en-US" w:eastAsia="zh-CN"/>
        </w:rPr>
        <w:t>: for 5G NR NTN refarming bands, propose to use the RF requirement of 5G NR SAN as starting point and make further improvement if confirmed to be necessary.</w:t>
      </w:r>
    </w:p>
    <w:p w14:paraId="78389C91">
      <w:pPr>
        <w:tabs>
          <w:tab w:val="left" w:pos="2127"/>
        </w:tabs>
        <w:spacing w:after="0"/>
        <w:rPr>
          <w:rFonts w:hint="default"/>
          <w:vertAlign w:val="baseline"/>
          <w:lang w:val="en-US" w:eastAsia="zh-CN"/>
        </w:rPr>
      </w:pPr>
      <w:r>
        <w:rPr>
          <w:rFonts w:hint="eastAsia"/>
          <w:b/>
          <w:bCs/>
          <w:lang w:val="en-US" w:eastAsia="zh-CN"/>
        </w:rPr>
        <w:t>Proposal 2</w:t>
      </w:r>
      <w:r>
        <w:rPr>
          <w:rFonts w:hint="eastAsia"/>
          <w:lang w:val="en-US" w:eastAsia="zh-CN"/>
        </w:rPr>
        <w:t>: for 6GR NTN SAN, propose to consider the following 5G BS types at least as starting point.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1"/>
      </w:tblGrid>
      <w:tr w14:paraId="7B50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shd w:val="clear" w:color="auto" w:fill="BEBEBE" w:themeFill="background1" w:themeFillShade="BF"/>
          </w:tcPr>
          <w:p w14:paraId="6C952425">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6GR NTN</w:t>
            </w:r>
          </w:p>
        </w:tc>
      </w:tr>
      <w:tr w14:paraId="21B3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2D1C88C6">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FR1 SAN</w:t>
            </w:r>
          </w:p>
        </w:tc>
      </w:tr>
      <w:tr w14:paraId="69DB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30A0E9DB">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Ka-band SAN</w:t>
            </w:r>
          </w:p>
        </w:tc>
      </w:tr>
      <w:tr w14:paraId="0EC33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39DC1447">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Ku-band SAN</w:t>
            </w:r>
          </w:p>
        </w:tc>
      </w:tr>
    </w:tbl>
    <w:p w14:paraId="5A463118">
      <w:pPr>
        <w:tabs>
          <w:tab w:val="left" w:pos="2127"/>
        </w:tabs>
        <w:spacing w:after="0"/>
        <w:rPr>
          <w:rFonts w:hint="default"/>
          <w:lang w:val="en-US" w:eastAsia="zh-CN"/>
        </w:rPr>
      </w:pPr>
    </w:p>
    <w:p w14:paraId="3B1D9EA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default" w:ascii="Arial" w:hAnsi="Arial" w:cs="Arial"/>
          <w:lang w:val="en-US" w:eastAsia="zh-CN"/>
        </w:rPr>
        <w:t>2.</w:t>
      </w:r>
      <w:r>
        <w:rPr>
          <w:rFonts w:hint="eastAsia" w:ascii="Arial" w:hAnsi="Arial" w:cs="Arial"/>
          <w:lang w:val="en-US" w:eastAsia="zh-CN"/>
        </w:rPr>
        <w:t>2. New BS types in addition to 5G NR</w:t>
      </w:r>
    </w:p>
    <w:p w14:paraId="79AAAFA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2.2.1. FR1 Hybrid beamforming</w:t>
      </w:r>
    </w:p>
    <w:p w14:paraId="3CDE5618">
      <w:pPr>
        <w:tabs>
          <w:tab w:val="left" w:pos="2127"/>
        </w:tabs>
        <w:spacing w:after="0"/>
        <w:rPr>
          <w:rFonts w:hint="default"/>
          <w:lang w:val="en-US" w:eastAsia="zh-CN"/>
        </w:rPr>
      </w:pPr>
      <w:r>
        <w:rPr>
          <w:rFonts w:hint="eastAsia"/>
          <w:lang w:val="en-US" w:eastAsia="zh-CN"/>
        </w:rPr>
        <w:t xml:space="preserve">For NTN deployment, it is important to increase the coverage from both DL and UL, one of efficient solution is to improve the antenna array size from the limited few square meters. Considering the balance of the number of RF chains and large antenna array size, the hybrid beamforming architecture offers one solution to address this problem similar as TN BS around 7GHz supporting more than 1k or 1.5k antenna elements; </w:t>
      </w:r>
    </w:p>
    <w:p w14:paraId="1AD9DD4D">
      <w:pPr>
        <w:tabs>
          <w:tab w:val="left" w:pos="2127"/>
        </w:tabs>
        <w:spacing w:after="0"/>
        <w:rPr>
          <w:rFonts w:hint="eastAsia"/>
          <w:b w:val="0"/>
          <w:bCs w:val="0"/>
          <w:lang w:val="en-US" w:eastAsia="zh-CN"/>
        </w:rPr>
      </w:pPr>
      <w:r>
        <w:rPr>
          <w:rFonts w:hint="eastAsia"/>
          <w:b/>
          <w:bCs/>
          <w:lang w:val="en-US" w:eastAsia="zh-CN"/>
        </w:rPr>
        <w:t>Proposal 3:</w:t>
      </w:r>
      <w:r>
        <w:rPr>
          <w:rFonts w:hint="eastAsia"/>
          <w:b w:val="0"/>
          <w:bCs w:val="0"/>
          <w:lang w:val="en-US" w:eastAsia="zh-CN"/>
        </w:rPr>
        <w:t xml:space="preserve"> propose to support the hybrid beamforming for SAN and leverage the definition method from TN BS with hybrid beamfomring. </w:t>
      </w:r>
    </w:p>
    <w:p w14:paraId="1D2ECD93">
      <w:pPr>
        <w:tabs>
          <w:tab w:val="left" w:pos="2127"/>
        </w:tabs>
        <w:spacing w:after="0"/>
        <w:rPr>
          <w:rFonts w:hint="default"/>
          <w:b w:val="0"/>
          <w:bCs w:val="0"/>
          <w:lang w:val="en-US" w:eastAsia="zh-CN"/>
        </w:rPr>
      </w:pPr>
      <w:r>
        <w:rPr>
          <w:rFonts w:hint="eastAsia"/>
          <w:b w:val="0"/>
          <w:bCs w:val="0"/>
          <w:lang w:val="en-US" w:eastAsia="zh-CN"/>
        </w:rPr>
        <w:t xml:space="preserve">In addition, the RF architecture for SAN is somehow a bit different from the TN BS from RDN mapping perspective. For NTN SAN, single RF chain might be able/designed to support the whole antenna array to provide the different beamprint via analog approach instead of connecting with one sub-array with digital beamforming for different users.   </w:t>
      </w:r>
    </w:p>
    <w:p w14:paraId="0C974BA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2.2.2. MSR SAN</w:t>
      </w:r>
    </w:p>
    <w:p w14:paraId="5B959860">
      <w:pPr>
        <w:tabs>
          <w:tab w:val="left" w:pos="2127"/>
        </w:tabs>
        <w:spacing w:after="0"/>
        <w:jc w:val="left"/>
        <w:rPr>
          <w:rFonts w:hint="eastAsia"/>
        </w:rPr>
      </w:pPr>
      <w:r>
        <w:rPr>
          <w:rFonts w:hint="eastAsia"/>
        </w:rPr>
        <w:t xml:space="preserve">For MRSS </w:t>
      </w:r>
      <w:r>
        <w:rPr>
          <w:rFonts w:hint="eastAsia"/>
          <w:lang w:val="en-US" w:eastAsia="zh-CN"/>
        </w:rPr>
        <w:t>SAN</w:t>
      </w:r>
      <w:r>
        <w:rPr>
          <w:rFonts w:hint="eastAsia"/>
        </w:rPr>
        <w:t xml:space="preserve"> supporting both 5G and 6G in the NR refarming bands,</w:t>
      </w:r>
      <w:r>
        <w:rPr>
          <w:rFonts w:hint="eastAsia"/>
          <w:lang w:val="en-US" w:eastAsia="zh-CN"/>
        </w:rPr>
        <w:t xml:space="preserve"> it is necessary to define the MSR SAN similar as TN SAN. In addition, the in-band NB-IoT within NR carrier was also introduced in Rel-18 by TEI manner. From this perspective, it should be reasonable to support the 4G(in-band IoT NTN)-</w:t>
      </w:r>
      <w:r>
        <w:rPr>
          <w:rFonts w:hint="eastAsia"/>
        </w:rPr>
        <w:t>5G-6G NTN MRSS in the new NTN MSR specification.</w:t>
      </w:r>
    </w:p>
    <w:p w14:paraId="718291F5">
      <w:pPr>
        <w:tabs>
          <w:tab w:val="left" w:pos="2127"/>
        </w:tabs>
        <w:spacing w:after="0"/>
        <w:jc w:val="left"/>
      </w:pPr>
      <w:r>
        <w:rPr>
          <w:rFonts w:hint="eastAsia"/>
          <w:b/>
          <w:bCs/>
        </w:rPr>
        <w:t xml:space="preserve">Proposal </w:t>
      </w:r>
      <w:r>
        <w:rPr>
          <w:rFonts w:hint="eastAsia"/>
          <w:b/>
          <w:bCs/>
          <w:lang w:val="en-US" w:eastAsia="zh-CN"/>
        </w:rPr>
        <w:t>4</w:t>
      </w:r>
      <w:r>
        <w:rPr>
          <w:rFonts w:hint="eastAsia"/>
        </w:rPr>
        <w:t xml:space="preserve">: for MRSS </w:t>
      </w:r>
      <w:r>
        <w:rPr>
          <w:rFonts w:hint="eastAsia"/>
          <w:lang w:val="en-US" w:eastAsia="zh-CN"/>
        </w:rPr>
        <w:t>SAN</w:t>
      </w:r>
      <w:r>
        <w:rPr>
          <w:rFonts w:hint="eastAsia"/>
        </w:rPr>
        <w:t xml:space="preserve">, </w:t>
      </w:r>
      <w:r>
        <w:rPr>
          <w:rFonts w:hint="eastAsia"/>
          <w:lang w:val="en-US" w:eastAsia="zh-CN"/>
        </w:rPr>
        <w:t>propose to consider</w:t>
      </w:r>
      <w:r>
        <w:rPr>
          <w:rFonts w:hint="eastAsia"/>
        </w:rPr>
        <w:t xml:space="preserve"> NTN SAN with </w:t>
      </w:r>
      <w:r>
        <w:rPr>
          <w:rFonts w:hint="eastAsia"/>
          <w:lang w:val="en-US" w:eastAsia="zh-CN"/>
        </w:rPr>
        <w:t>4G(in-band IoT NTN)-</w:t>
      </w:r>
      <w:r>
        <w:rPr>
          <w:rFonts w:hint="eastAsia"/>
        </w:rPr>
        <w:t>5G-6G NTN MRSS in the new NTN MSR specification.</w:t>
      </w:r>
    </w:p>
    <w:p w14:paraId="0DDC3056">
      <w:pPr>
        <w:tabs>
          <w:tab w:val="left" w:pos="2127"/>
        </w:tabs>
        <w:spacing w:after="0"/>
        <w:rPr>
          <w:rFonts w:hint="default"/>
          <w:b w:val="0"/>
          <w:bCs w:val="0"/>
          <w:lang w:val="en-US" w:eastAsia="zh-CN"/>
        </w:rPr>
      </w:pPr>
    </w:p>
    <w:p w14:paraId="6D78BFB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w:t>
      </w:r>
      <w:r>
        <w:rPr>
          <w:rFonts w:hint="eastAsia" w:ascii="Arial" w:hAnsi="Arial" w:cs="Arial"/>
          <w:lang w:val="en-US" w:eastAsia="zh-CN"/>
        </w:rPr>
        <w:t>3.</w:t>
      </w:r>
      <w:r>
        <w:rPr>
          <w:rFonts w:hint="default" w:ascii="Arial" w:hAnsi="Arial" w:cs="Arial"/>
          <w:lang w:val="en-US" w:eastAsia="zh-CN"/>
        </w:rPr>
        <w:t xml:space="preserve"> </w:t>
      </w:r>
      <w:r>
        <w:rPr>
          <w:rFonts w:hint="eastAsia" w:ascii="Arial" w:hAnsi="Arial" w:cs="Arial"/>
          <w:lang w:val="en-US" w:eastAsia="zh-CN"/>
        </w:rPr>
        <w:t xml:space="preserve">Improvement for the RF requirement of 6GR </w:t>
      </w:r>
    </w:p>
    <w:p w14:paraId="5D0FC3D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2.3.1. EVM requirement </w:t>
      </w:r>
    </w:p>
    <w:p w14:paraId="4DBA50C5">
      <w:pPr>
        <w:tabs>
          <w:tab w:val="left" w:pos="2127"/>
        </w:tabs>
        <w:spacing w:after="0"/>
        <w:jc w:val="left"/>
        <w:rPr>
          <w:rFonts w:hint="default"/>
          <w:lang w:val="en-US" w:eastAsia="zh-CN"/>
        </w:rPr>
      </w:pPr>
      <w:r>
        <w:rPr>
          <w:rFonts w:hint="eastAsia"/>
          <w:lang w:val="en-US" w:eastAsia="zh-CN"/>
        </w:rPr>
        <w:t xml:space="preserve">As shown in the following agreement, during the last RAN1#122 meeting, RAN1 has already agreed to use the 5G modulation order as basis and further discuss other enhancement and modulation orders. In general, we could apply the EVM requirement of 5G SAN as starting point..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6F3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B624C99">
            <w:pPr>
              <w:keepNext w:val="0"/>
              <w:keepLines w:val="0"/>
              <w:suppressLineNumbers w:val="0"/>
              <w:spacing w:before="0" w:beforeAutospacing="0" w:afterAutospacing="0"/>
              <w:ind w:left="0" w:right="0"/>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 RAN1_122 meeting</w:t>
            </w:r>
          </w:p>
          <w:p w14:paraId="35EB399D">
            <w:pPr>
              <w:keepNext w:val="0"/>
              <w:keepLines w:val="0"/>
              <w:numPr>
                <w:ilvl w:val="0"/>
                <w:numId w:val="8"/>
              </w:numPr>
              <w:suppressLineNumbers w:val="0"/>
              <w:spacing w:before="0" w:beforeAutospacing="0" w:afterAutospacing="0"/>
              <w:ind w:right="0"/>
              <w:rPr>
                <w:rFonts w:hint="default"/>
              </w:rPr>
            </w:pPr>
            <w:r>
              <w:rPr>
                <w:rFonts w:hint="default"/>
              </w:rPr>
              <w:t>For 6GR DL, 5G NR uniform QPSK, 16QAM, 64QAM, 256QAM and 1024QAM are supported as basis for study for data channel</w:t>
            </w:r>
          </w:p>
          <w:p w14:paraId="0E1B13DE">
            <w:pPr>
              <w:pStyle w:val="37"/>
              <w:keepNext w:val="0"/>
              <w:keepLines w:val="0"/>
              <w:numPr>
                <w:ilvl w:val="1"/>
                <w:numId w:val="8"/>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3EE88039">
            <w:pPr>
              <w:keepNext w:val="0"/>
              <w:keepLines w:val="0"/>
              <w:numPr>
                <w:ilvl w:val="0"/>
                <w:numId w:val="8"/>
              </w:numPr>
              <w:suppressLineNumbers w:val="0"/>
              <w:spacing w:before="0" w:beforeAutospacing="0" w:afterAutospacing="0"/>
              <w:ind w:right="0"/>
              <w:rPr>
                <w:rFonts w:hint="default"/>
              </w:rPr>
            </w:pPr>
            <w:r>
              <w:rPr>
                <w:rFonts w:hint="default"/>
              </w:rPr>
              <w:t>For 6GR UL, 5G NR uniform QPSK, 16QAM, 64QAM, and 256QAM are supported as basis for study for CP-OFDM for data channel</w:t>
            </w:r>
          </w:p>
          <w:p w14:paraId="1B42CC0F">
            <w:pPr>
              <w:pStyle w:val="37"/>
              <w:keepNext w:val="0"/>
              <w:keepLines w:val="0"/>
              <w:numPr>
                <w:ilvl w:val="1"/>
                <w:numId w:val="8"/>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785ECCBB">
            <w:pPr>
              <w:keepNext w:val="0"/>
              <w:keepLines w:val="0"/>
              <w:numPr>
                <w:ilvl w:val="0"/>
                <w:numId w:val="8"/>
              </w:numPr>
              <w:suppressLineNumbers w:val="0"/>
              <w:spacing w:before="0" w:beforeAutospacing="0" w:afterAutospacing="0"/>
              <w:ind w:right="0"/>
              <w:rPr>
                <w:rFonts w:hint="default"/>
              </w:rPr>
            </w:pPr>
            <w:r>
              <w:rPr>
                <w:rFonts w:hint="default"/>
              </w:rPr>
              <w:t>For 6GR UL, 5G NR pi/2 BPSK, uniform QPSK, 16QAM, 64QAM, and 256QAM are supported as basis for study for DFT-s-OFDM for data channel</w:t>
            </w:r>
          </w:p>
          <w:p w14:paraId="0B25602B">
            <w:pPr>
              <w:pStyle w:val="37"/>
              <w:keepNext w:val="0"/>
              <w:keepLines w:val="0"/>
              <w:numPr>
                <w:ilvl w:val="1"/>
                <w:numId w:val="8"/>
              </w:numPr>
              <w:suppressLineNumbers w:val="0"/>
              <w:overflowPunct w:val="0"/>
              <w:autoSpaceDE w:val="0"/>
              <w:autoSpaceDN w:val="0"/>
              <w:adjustRightInd w:val="0"/>
              <w:spacing w:before="0" w:beforeAutospacing="0" w:afterAutospacing="0"/>
              <w:ind w:leftChars="0" w:right="0"/>
              <w:contextualSpacing/>
              <w:textAlignment w:val="baseline"/>
              <w:rPr>
                <w:rFonts w:hint="default"/>
                <w:vertAlign w:val="baseline"/>
                <w:lang w:val="en-US" w:eastAsia="zh-CN"/>
              </w:rPr>
            </w:pPr>
            <w:r>
              <w:rPr>
                <w:rFonts w:hint="default"/>
              </w:rPr>
              <w:t>FFS: Enhancements and other modulation schemes</w:t>
            </w:r>
          </w:p>
        </w:tc>
      </w:tr>
    </w:tbl>
    <w:p w14:paraId="023F7A29">
      <w:pPr>
        <w:tabs>
          <w:tab w:val="left" w:pos="2127"/>
        </w:tabs>
        <w:spacing w:after="0"/>
        <w:jc w:val="left"/>
        <w:rPr>
          <w:rFonts w:hint="eastAsia"/>
          <w:lang w:val="en-US" w:eastAsia="zh-CN"/>
        </w:rPr>
      </w:pPr>
      <w:r>
        <w:rPr>
          <w:rFonts w:hint="eastAsia"/>
          <w:b/>
          <w:bCs/>
          <w:lang w:val="en-US" w:eastAsia="zh-CN"/>
        </w:rPr>
        <w:t>Proposal 5</w:t>
      </w:r>
      <w:r>
        <w:rPr>
          <w:rFonts w:hint="eastAsia"/>
          <w:lang w:val="en-US" w:eastAsia="zh-CN"/>
        </w:rPr>
        <w:t>: for minimum EVM requirement of 6GR, propose to apply the 5G SAN EVM requirement as starting point for 6GR BS.</w:t>
      </w:r>
    </w:p>
    <w:p w14:paraId="5035DB6F">
      <w:pPr>
        <w:tabs>
          <w:tab w:val="left" w:pos="2127"/>
        </w:tabs>
        <w:spacing w:after="0"/>
        <w:jc w:val="left"/>
        <w:rPr>
          <w:rFonts w:hint="eastAsia"/>
          <w:lang w:val="en-US" w:eastAsia="zh-CN"/>
        </w:rPr>
      </w:pPr>
      <w:r>
        <w:rPr>
          <w:rFonts w:hint="eastAsia"/>
          <w:lang w:val="en-US" w:eastAsia="zh-CN"/>
        </w:rPr>
        <w:t xml:space="preserve">Since the EVM requirement is extremely critical for the network performance/achievable peak data rate in field. In the past, TN BS EVM requirement is mainly evaluated under the assumption of SU-MIMO with the limited MIMO layers (up to 2/4 MIMO layers ), however this kind of evaluation assumption is not quite aligned for the scenarios with high traffic load in the commercial network. For the high traffic load case, usually MU-MIMO and CA must be considered to guarantee the network capacity. For SAN deployment, it might be not necessary to consider the SU-MIMO or MU-MIMO within single beamprint, however interference between different beamprint should be also considered. These kind of co-channel interference from SAN side with multiple serving beams should be well considered to derive the appropriate EVM requirement for it. In short, in 6G phase, we propose to discuss the optimal EVM requirement in addition to the minimum EVM requirement at least to reflect the more realistic network operation including multiple beamprint case. </w:t>
      </w:r>
    </w:p>
    <w:p w14:paraId="29EF563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160905" cy="2165985"/>
            <wp:effectExtent l="0" t="0" r="10795" b="571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9"/>
                    <a:stretch>
                      <a:fillRect/>
                    </a:stretch>
                  </pic:blipFill>
                  <pic:spPr>
                    <a:xfrm>
                      <a:off x="0" y="0"/>
                      <a:ext cx="2160905" cy="2165985"/>
                    </a:xfrm>
                    <a:prstGeom prst="rect">
                      <a:avLst/>
                    </a:prstGeom>
                    <a:noFill/>
                    <a:ln w="9525">
                      <a:noFill/>
                    </a:ln>
                  </pic:spPr>
                </pic:pic>
              </a:graphicData>
            </a:graphic>
          </wp:inline>
        </w:drawing>
      </w:r>
    </w:p>
    <w:p w14:paraId="7D4A799E">
      <w:pPr>
        <w:tabs>
          <w:tab w:val="left" w:pos="2127"/>
        </w:tabs>
        <w:spacing w:after="0"/>
        <w:jc w:val="center"/>
        <w:rPr>
          <w:rFonts w:hint="default"/>
          <w:lang w:val="en-US" w:eastAsia="zh-CN"/>
        </w:rPr>
      </w:pPr>
      <w:r>
        <w:rPr>
          <w:rFonts w:hint="eastAsia"/>
          <w:lang w:val="en-US" w:eastAsia="zh-CN"/>
        </w:rPr>
        <w:t>Figure 2.3.1-1. the illustration of SAN with multiple beam operation for different beamprint</w:t>
      </w:r>
    </w:p>
    <w:p w14:paraId="32743FB1">
      <w:pPr>
        <w:tabs>
          <w:tab w:val="left" w:pos="2127"/>
        </w:tabs>
        <w:spacing w:after="0"/>
        <w:jc w:val="left"/>
        <w:rPr>
          <w:rFonts w:hint="eastAsia"/>
          <w:lang w:val="en-US" w:eastAsia="zh-CN"/>
        </w:rPr>
      </w:pPr>
    </w:p>
    <w:p w14:paraId="625D034C">
      <w:pPr>
        <w:tabs>
          <w:tab w:val="left" w:pos="2127"/>
        </w:tabs>
        <w:spacing w:after="0"/>
        <w:jc w:val="left"/>
        <w:rPr>
          <w:rFonts w:hint="eastAsia"/>
          <w:lang w:val="en-US" w:eastAsia="zh-CN"/>
        </w:rPr>
      </w:pPr>
      <w:r>
        <w:rPr>
          <w:rFonts w:hint="eastAsia"/>
          <w:b/>
          <w:bCs/>
          <w:lang w:val="en-US" w:eastAsia="zh-CN"/>
        </w:rPr>
        <w:t>Proposal 6</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14:paraId="7FBE24F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p>
    <w:p w14:paraId="7743FEB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2.3.2. ACLR requirement</w:t>
      </w:r>
    </w:p>
    <w:p w14:paraId="07DD5899">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14:paraId="3F006A6D">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in TN network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14:paraId="0DFFB8EF">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A76CACD">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14:paraId="04795400">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14:paraId="517399BC">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14:paraId="7520D254">
      <w:pPr>
        <w:pageBreakBefore w:val="0"/>
        <w:kinsoku/>
        <w:wordWrap/>
        <w:topLinePunct w:val="0"/>
        <w:bidi w:val="0"/>
        <w:snapToGrid/>
        <w:spacing w:after="0"/>
        <w:jc w:val="center"/>
        <w:rPr>
          <w:rFonts w:hint="default"/>
          <w:lang w:val="en-US" w:eastAsia="zh-CN"/>
        </w:rPr>
      </w:pPr>
      <w:r>
        <w:rPr>
          <w:rFonts w:hint="eastAsia"/>
          <w:lang w:val="en-US" w:eastAsia="zh-CN"/>
        </w:rPr>
        <w:t>Figure 2.3.5-1: Array correlation factor roll-off model. [TR 38.922]</w:t>
      </w:r>
    </w:p>
    <w:p w14:paraId="3E21F2CE">
      <w:pPr>
        <w:pageBreakBefore w:val="0"/>
        <w:kinsoku/>
        <w:wordWrap/>
        <w:topLinePunct w:val="0"/>
        <w:bidi w:val="0"/>
        <w:snapToGrid/>
        <w:spacing w:after="0"/>
      </w:pPr>
      <w:r>
        <w:t>Using the approach above the antenna model can be extended to capture array antenna gain outside the wanted carrier as:</w:t>
      </w:r>
    </w:p>
    <w:p w14:paraId="290262E0">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F7E6269">
      <w:pPr>
        <w:pageBreakBefore w:val="0"/>
        <w:kinsoku/>
        <w:wordWrap/>
        <w:topLinePunct w:val="0"/>
        <w:bidi w:val="0"/>
        <w:snapToGrid/>
        <w:spacing w:after="0"/>
        <w:rPr>
          <w:rFonts w:hint="eastAsia"/>
          <w:lang w:val="en-US" w:eastAsia="zh-CN"/>
        </w:rPr>
      </w:pPr>
      <w:r>
        <w:rPr>
          <w:rFonts w:hint="eastAsia"/>
          <w:lang w:val="en-US" w:eastAsia="zh-CN"/>
        </w:rPr>
        <w:t>However for FR1 SAN and FR2-1 SAN</w:t>
      </w:r>
      <w:r>
        <w:rPr>
          <w:rFonts w:hint="default"/>
          <w:lang w:val="en-US" w:eastAsia="zh-CN"/>
        </w:rPr>
        <w:t>’</w:t>
      </w:r>
      <w:r>
        <w:rPr>
          <w:rFonts w:hint="eastAsia"/>
          <w:lang w:val="en-US" w:eastAsia="zh-CN"/>
        </w:rPr>
        <w:t>s ACLR requirements as summarized in the following table, these are relatively very relaxed requirements, in other words, we might not see strong necessity to further improve this requirement.</w:t>
      </w:r>
    </w:p>
    <w:p w14:paraId="3A050D28">
      <w:pPr>
        <w:pageBreakBefore w:val="0"/>
        <w:kinsoku/>
        <w:wordWrap/>
        <w:topLinePunct w:val="0"/>
        <w:bidi w:val="0"/>
        <w:snapToGrid/>
        <w:spacing w:after="0"/>
        <w:jc w:val="center"/>
        <w:rPr>
          <w:rFonts w:hint="default"/>
          <w:lang w:val="en-US" w:eastAsia="zh-CN"/>
        </w:rPr>
      </w:pPr>
      <w:r>
        <w:rPr>
          <w:rFonts w:hint="eastAsia"/>
          <w:lang w:val="en-US" w:eastAsia="zh-CN"/>
        </w:rPr>
        <w:t xml:space="preserve">Table </w:t>
      </w:r>
      <w:r>
        <w:rPr>
          <w:rFonts w:hint="eastAsia"/>
          <w:b w:val="0"/>
          <w:bCs w:val="0"/>
          <w:lang w:val="en-US" w:eastAsia="zh-CN"/>
        </w:rPr>
        <w:t>2.3.2-1. The summarized ACLR requirement for SAN in 5G phase.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14:paraId="29EC6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90DC991">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Scenarios</w:t>
            </w:r>
          </w:p>
        </w:tc>
        <w:tc>
          <w:tcPr>
            <w:tcW w:w="3321" w:type="dxa"/>
          </w:tcPr>
          <w:p w14:paraId="7F90F76E">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ACLR [dB]</w:t>
            </w:r>
          </w:p>
        </w:tc>
        <w:tc>
          <w:tcPr>
            <w:tcW w:w="3321" w:type="dxa"/>
          </w:tcPr>
          <w:p w14:paraId="4A7FC7CA">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NOTE</w:t>
            </w:r>
          </w:p>
        </w:tc>
      </w:tr>
      <w:tr w14:paraId="766A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201B72CD">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FR1 GEO</w:t>
            </w:r>
          </w:p>
        </w:tc>
        <w:tc>
          <w:tcPr>
            <w:tcW w:w="3321" w:type="dxa"/>
          </w:tcPr>
          <w:p w14:paraId="6ADA2728">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14</w:t>
            </w:r>
          </w:p>
        </w:tc>
        <w:tc>
          <w:tcPr>
            <w:tcW w:w="3321" w:type="dxa"/>
          </w:tcPr>
          <w:p w14:paraId="11F7A316">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14:paraId="68DD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50A8CD25">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r>
              <w:rPr>
                <w:rFonts w:hint="eastAsia"/>
                <w:vertAlign w:val="baseline"/>
                <w:lang w:val="en-US" w:eastAsia="zh-CN"/>
              </w:rPr>
              <w:t>FR1 LEO</w:t>
            </w:r>
          </w:p>
        </w:tc>
        <w:tc>
          <w:tcPr>
            <w:tcW w:w="3321" w:type="dxa"/>
          </w:tcPr>
          <w:p w14:paraId="12F8226A">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24</w:t>
            </w:r>
          </w:p>
        </w:tc>
        <w:tc>
          <w:tcPr>
            <w:tcW w:w="3321" w:type="dxa"/>
          </w:tcPr>
          <w:p w14:paraId="38867EC1">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14:paraId="7945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26D571A2">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Ka-band GEO/LEO</w:t>
            </w:r>
          </w:p>
        </w:tc>
        <w:tc>
          <w:tcPr>
            <w:tcW w:w="3321" w:type="dxa"/>
          </w:tcPr>
          <w:p w14:paraId="7041885F">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12</w:t>
            </w:r>
          </w:p>
        </w:tc>
        <w:tc>
          <w:tcPr>
            <w:tcW w:w="3321" w:type="dxa"/>
          </w:tcPr>
          <w:p w14:paraId="16DA9F39">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14:paraId="0D78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6FA385A7">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r>
              <w:rPr>
                <w:rFonts w:hint="eastAsia"/>
                <w:vertAlign w:val="baseline"/>
                <w:lang w:val="en-US" w:eastAsia="zh-CN"/>
              </w:rPr>
              <w:t>Ku-band GEO/LEO</w:t>
            </w:r>
          </w:p>
        </w:tc>
        <w:tc>
          <w:tcPr>
            <w:tcW w:w="3321" w:type="dxa"/>
          </w:tcPr>
          <w:p w14:paraId="6842C24C">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16</w:t>
            </w:r>
          </w:p>
        </w:tc>
        <w:tc>
          <w:tcPr>
            <w:tcW w:w="3321" w:type="dxa"/>
          </w:tcPr>
          <w:p w14:paraId="3D7BC3CA">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bl>
    <w:p w14:paraId="4DDA0A29">
      <w:pPr>
        <w:pageBreakBefore w:val="0"/>
        <w:kinsoku/>
        <w:wordWrap/>
        <w:topLinePunct w:val="0"/>
        <w:bidi w:val="0"/>
        <w:snapToGrid/>
        <w:spacing w:after="0"/>
        <w:rPr>
          <w:rFonts w:hint="default"/>
          <w:lang w:val="en-US" w:eastAsia="zh-CN"/>
        </w:rPr>
      </w:pPr>
      <w:r>
        <w:rPr>
          <w:rFonts w:hint="eastAsia"/>
          <w:lang w:val="en-US" w:eastAsia="zh-CN"/>
        </w:rPr>
        <w:t xml:space="preserve"> </w:t>
      </w:r>
    </w:p>
    <w:p w14:paraId="10F21DD8">
      <w:pPr>
        <w:pageBreakBefore w:val="0"/>
        <w:kinsoku/>
        <w:wordWrap/>
        <w:topLinePunct w:val="0"/>
        <w:bidi w:val="0"/>
        <w:snapToGrid/>
        <w:spacing w:after="0"/>
        <w:rPr>
          <w:rFonts w:hint="default"/>
          <w:lang w:val="en-US" w:eastAsia="zh-CN"/>
        </w:rPr>
      </w:pPr>
      <w:r>
        <w:rPr>
          <w:rFonts w:hint="eastAsia"/>
          <w:lang w:val="en-US" w:eastAsia="zh-CN"/>
        </w:rPr>
        <w:t xml:space="preserve">For sure,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14:paraId="08DF2C9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7</w:t>
      </w:r>
      <w:r>
        <w:rPr>
          <w:rFonts w:hint="eastAsia"/>
          <w:lang w:val="en-US" w:eastAsia="zh-CN"/>
        </w:rPr>
        <w:t xml:space="preserve">: for the spatial ACLR modelling, propose to deprioritize this requirement optimization due to its relaxed value.  </w:t>
      </w:r>
    </w:p>
    <w:bookmarkEnd w:id="1"/>
    <w:bookmarkEnd w:id="2"/>
    <w:bookmarkEnd w:id="3"/>
    <w:bookmarkEnd w:id="4"/>
    <w:p w14:paraId="5159F7DC">
      <w:pPr>
        <w:pStyle w:val="58"/>
        <w:tabs>
          <w:tab w:val="left" w:pos="567"/>
          <w:tab w:val="clear" w:pos="1985"/>
        </w:tabs>
        <w:adjustRightInd w:val="0"/>
        <w:ind w:left="510" w:hanging="510"/>
      </w:pPr>
      <w:r>
        <w:t>Conclusions</w:t>
      </w:r>
    </w:p>
    <w:p w14:paraId="0731656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NTN SAN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14:paraId="125948AB">
      <w:pPr>
        <w:tabs>
          <w:tab w:val="left" w:pos="2127"/>
        </w:tabs>
        <w:spacing w:after="0"/>
        <w:rPr>
          <w:rFonts w:hint="eastAsia"/>
          <w:lang w:val="en-US" w:eastAsia="zh-CN"/>
        </w:rPr>
      </w:pPr>
      <w:r>
        <w:rPr>
          <w:rFonts w:hint="eastAsia"/>
          <w:b/>
          <w:bCs/>
          <w:lang w:val="en-US" w:eastAsia="zh-CN"/>
        </w:rPr>
        <w:t>Proposal 1</w:t>
      </w:r>
      <w:r>
        <w:rPr>
          <w:rFonts w:hint="eastAsia"/>
          <w:lang w:val="en-US" w:eastAsia="zh-CN"/>
        </w:rPr>
        <w:t>:for 5G NR NTN refarming bands, propose to use the RF requirement of 5G NR BS as starting point and make further improvement if confirmed to be necessary.</w:t>
      </w:r>
    </w:p>
    <w:p w14:paraId="402CD43C">
      <w:pPr>
        <w:tabs>
          <w:tab w:val="left" w:pos="2127"/>
        </w:tabs>
        <w:spacing w:after="0"/>
        <w:rPr>
          <w:rFonts w:hint="default"/>
          <w:vertAlign w:val="baseline"/>
          <w:lang w:val="en-US" w:eastAsia="zh-CN"/>
        </w:rPr>
      </w:pPr>
      <w:r>
        <w:rPr>
          <w:rFonts w:hint="eastAsia"/>
          <w:b/>
          <w:bCs/>
          <w:lang w:val="en-US" w:eastAsia="zh-CN"/>
        </w:rPr>
        <w:t>Proposal 2</w:t>
      </w:r>
      <w:r>
        <w:rPr>
          <w:rFonts w:hint="eastAsia"/>
          <w:lang w:val="en-US" w:eastAsia="zh-CN"/>
        </w:rPr>
        <w:t>: for 6GR NTN SAN, propose to consider the following 5G BS types at least as starting point.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1"/>
      </w:tblGrid>
      <w:tr w14:paraId="3686F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shd w:val="clear" w:color="auto" w:fill="BEBEBE" w:themeFill="background1" w:themeFillShade="BF"/>
          </w:tcPr>
          <w:p w14:paraId="0DCD38F1">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6GR NTN</w:t>
            </w:r>
          </w:p>
        </w:tc>
      </w:tr>
      <w:tr w14:paraId="41CC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71280BFD">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FR1 SAN</w:t>
            </w:r>
          </w:p>
        </w:tc>
      </w:tr>
      <w:tr w14:paraId="2E19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6C58D621">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Ka-band SAN</w:t>
            </w:r>
          </w:p>
        </w:tc>
      </w:tr>
      <w:tr w14:paraId="0D87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4D24ABDB">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Ku-band SAN</w:t>
            </w:r>
          </w:p>
        </w:tc>
      </w:tr>
    </w:tbl>
    <w:p w14:paraId="00E5BFE2">
      <w:pPr>
        <w:tabs>
          <w:tab w:val="left" w:pos="2127"/>
        </w:tabs>
        <w:spacing w:after="0"/>
        <w:rPr>
          <w:rFonts w:hint="eastAsia"/>
          <w:b w:val="0"/>
          <w:bCs w:val="0"/>
          <w:lang w:val="en-US" w:eastAsia="zh-CN"/>
        </w:rPr>
      </w:pPr>
      <w:r>
        <w:rPr>
          <w:rFonts w:hint="eastAsia"/>
          <w:b/>
          <w:bCs/>
          <w:lang w:val="en-US" w:eastAsia="zh-CN"/>
        </w:rPr>
        <w:t>Proposal 3:</w:t>
      </w:r>
      <w:r>
        <w:rPr>
          <w:rFonts w:hint="eastAsia"/>
          <w:b w:val="0"/>
          <w:bCs w:val="0"/>
          <w:lang w:val="en-US" w:eastAsia="zh-CN"/>
        </w:rPr>
        <w:t xml:space="preserve"> propose to support the hybrid beamforming for SAN and leverage the definition method from TN BS with hybrid beamfomring. </w:t>
      </w:r>
    </w:p>
    <w:p w14:paraId="578AC19E">
      <w:pPr>
        <w:tabs>
          <w:tab w:val="left" w:pos="2127"/>
        </w:tabs>
        <w:spacing w:after="0"/>
        <w:jc w:val="left"/>
        <w:rPr>
          <w:rFonts w:hint="eastAsia"/>
        </w:rPr>
      </w:pPr>
      <w:r>
        <w:rPr>
          <w:rFonts w:hint="eastAsia"/>
          <w:b/>
          <w:bCs/>
        </w:rPr>
        <w:t xml:space="preserve">Proposal </w:t>
      </w:r>
      <w:r>
        <w:rPr>
          <w:rFonts w:hint="eastAsia"/>
          <w:b/>
          <w:bCs/>
          <w:lang w:val="en-US" w:eastAsia="zh-CN"/>
        </w:rPr>
        <w:t>4</w:t>
      </w:r>
      <w:r>
        <w:rPr>
          <w:rFonts w:hint="eastAsia"/>
        </w:rPr>
        <w:t xml:space="preserve">: </w:t>
      </w:r>
      <w:r>
        <w:rPr>
          <w:rFonts w:hint="eastAsia"/>
          <w:lang w:val="en-US" w:eastAsia="zh-CN"/>
        </w:rPr>
        <w:t>f</w:t>
      </w:r>
      <w:r>
        <w:rPr>
          <w:rFonts w:hint="eastAsia"/>
        </w:rPr>
        <w:t xml:space="preserve">or MRSS </w:t>
      </w:r>
      <w:r>
        <w:rPr>
          <w:rFonts w:hint="eastAsia"/>
          <w:lang w:val="en-US" w:eastAsia="zh-CN"/>
        </w:rPr>
        <w:t>SAN</w:t>
      </w:r>
      <w:r>
        <w:rPr>
          <w:rFonts w:hint="eastAsia"/>
        </w:rPr>
        <w:t xml:space="preserve">, </w:t>
      </w:r>
      <w:r>
        <w:rPr>
          <w:rFonts w:hint="eastAsia"/>
          <w:lang w:val="en-US" w:eastAsia="zh-CN"/>
        </w:rPr>
        <w:t>propose to consider</w:t>
      </w:r>
      <w:r>
        <w:rPr>
          <w:rFonts w:hint="eastAsia"/>
        </w:rPr>
        <w:t xml:space="preserve"> NTN SAN with </w:t>
      </w:r>
      <w:r>
        <w:rPr>
          <w:rFonts w:hint="eastAsia"/>
          <w:lang w:val="en-US" w:eastAsia="zh-CN"/>
        </w:rPr>
        <w:t>4G(in-band IoT NTN)-</w:t>
      </w:r>
      <w:r>
        <w:rPr>
          <w:rFonts w:hint="eastAsia"/>
        </w:rPr>
        <w:t>5G-6G NTN MRSS in the new NTN MSR specification.</w:t>
      </w:r>
    </w:p>
    <w:p w14:paraId="69A66881">
      <w:pPr>
        <w:tabs>
          <w:tab w:val="left" w:pos="2127"/>
        </w:tabs>
        <w:spacing w:after="0"/>
        <w:jc w:val="left"/>
        <w:rPr>
          <w:rFonts w:hint="eastAsia"/>
          <w:lang w:val="en-US" w:eastAsia="zh-CN"/>
        </w:rPr>
      </w:pPr>
      <w:r>
        <w:rPr>
          <w:rFonts w:hint="eastAsia"/>
          <w:b/>
          <w:bCs/>
          <w:lang w:val="en-US" w:eastAsia="zh-CN"/>
        </w:rPr>
        <w:t>Proposal 5</w:t>
      </w:r>
      <w:r>
        <w:rPr>
          <w:rFonts w:hint="eastAsia"/>
          <w:lang w:val="en-US" w:eastAsia="zh-CN"/>
        </w:rPr>
        <w:t>: for minimum EVM requirement of 6GR, propose to apply the 5G SAN EVM requirement as starting point for 6GR BS.</w:t>
      </w:r>
    </w:p>
    <w:p w14:paraId="09B7E98D">
      <w:pPr>
        <w:tabs>
          <w:tab w:val="left" w:pos="2127"/>
        </w:tabs>
        <w:spacing w:after="0"/>
        <w:jc w:val="left"/>
        <w:rPr>
          <w:rFonts w:hint="eastAsia"/>
          <w:lang w:val="en-US" w:eastAsia="zh-CN"/>
        </w:rPr>
      </w:pPr>
      <w:r>
        <w:rPr>
          <w:rFonts w:hint="eastAsia"/>
          <w:b/>
          <w:bCs/>
          <w:lang w:val="en-US" w:eastAsia="zh-CN"/>
        </w:rPr>
        <w:t>Proposal 6</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14:paraId="622D331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7</w:t>
      </w:r>
      <w:r>
        <w:rPr>
          <w:rFonts w:hint="eastAsia"/>
          <w:lang w:val="en-US" w:eastAsia="zh-CN"/>
        </w:rPr>
        <w:t xml:space="preserve">: for the spatial ACLR modelling, propose to deprioritize this requirement optimization due to its relaxed value.  </w:t>
      </w:r>
    </w:p>
    <w:p w14:paraId="3E7E03C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8</w:t>
      </w:r>
      <w:r>
        <w:rPr>
          <w:rFonts w:hint="eastAsia"/>
          <w:lang w:val="en-US" w:eastAsia="zh-CN"/>
        </w:rPr>
        <w:t>: the summarized proposal for 6GR SAN requirement can be found in Annex.</w:t>
      </w:r>
    </w:p>
    <w:p w14:paraId="4F5867B4">
      <w:pPr>
        <w:pStyle w:val="58"/>
        <w:tabs>
          <w:tab w:val="left" w:pos="567"/>
          <w:tab w:val="clear" w:pos="1985"/>
        </w:tabs>
        <w:adjustRightInd w:val="0"/>
        <w:ind w:left="510" w:hanging="510"/>
      </w:pPr>
      <w:r>
        <w:t>References</w:t>
      </w:r>
    </w:p>
    <w:p w14:paraId="150F96DB">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4066E63E">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4A684579">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2FADA241">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026F4ECA">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0D054D45">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7BFE1DC0">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7F0A42D0">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50F53B33">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TS 38.108</w:t>
      </w:r>
    </w:p>
    <w:p w14:paraId="0AC93C8F">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21730953">
      <w:pPr>
        <w:pStyle w:val="58"/>
        <w:tabs>
          <w:tab w:val="left" w:pos="567"/>
          <w:tab w:val="clear" w:pos="1985"/>
        </w:tabs>
        <w:adjustRightInd w:val="0"/>
        <w:ind w:left="510" w:hanging="510"/>
      </w:pPr>
      <w:r>
        <w:rPr>
          <w:rFonts w:hint="eastAsia"/>
          <w:lang w:val="en-US" w:eastAsia="zh-CN"/>
        </w:rPr>
        <w:t>Annex</w:t>
      </w:r>
    </w:p>
    <w:tbl>
      <w:tblPr>
        <w:tblStyle w:val="27"/>
        <w:tblW w:w="1105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2126"/>
        <w:gridCol w:w="2410"/>
        <w:gridCol w:w="2415"/>
      </w:tblGrid>
      <w:tr w14:paraId="49873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76">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bCs/>
                <w:sz w:val="20"/>
                <w:lang w:val="sv-SE" w:eastAsia="zh-CN"/>
              </w:rPr>
            </w:pPr>
            <w:r>
              <w:rPr>
                <w:rFonts w:hint="default" w:ascii="Times New Roman" w:hAnsi="Times New Roman" w:eastAsia="MS Mincho"/>
                <w:bCs/>
                <w:sz w:val="20"/>
                <w:lang w:val="sv-SE" w:eastAsia="zh-CN"/>
              </w:rPr>
              <w:t xml:space="preserve">5G </w:t>
            </w:r>
            <w:r>
              <w:rPr>
                <w:rFonts w:hint="eastAsia" w:ascii="Times New Roman" w:hAnsi="Times New Roman" w:eastAsia="MS Mincho"/>
                <w:bCs/>
                <w:sz w:val="20"/>
                <w:lang w:val="en-US" w:eastAsia="zh-CN"/>
              </w:rPr>
              <w:t>SAN</w:t>
            </w:r>
            <w:r>
              <w:rPr>
                <w:rFonts w:hint="default" w:ascii="Times New Roman" w:hAnsi="Times New Roman" w:eastAsia="MS Mincho"/>
                <w:bCs/>
                <w:sz w:val="20"/>
                <w:lang w:val="sv-SE" w:eastAsia="zh-CN"/>
              </w:rPr>
              <w:t xml:space="preserve"> requirements</w:t>
            </w:r>
          </w:p>
        </w:tc>
        <w:tc>
          <w:tcPr>
            <w:tcW w:w="2126" w:type="dxa"/>
          </w:tcPr>
          <w:p w14:paraId="49873A77">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No impact expected, might be reused as is for 6G</w:t>
            </w:r>
          </w:p>
        </w:tc>
        <w:tc>
          <w:tcPr>
            <w:tcW w:w="2410" w:type="dxa"/>
          </w:tcPr>
          <w:p w14:paraId="49873A78">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To be re-evaluated based on system parameters decision for 6G (SU, channel BW, …), following TR 38.</w:t>
            </w:r>
            <w:r>
              <w:rPr>
                <w:rFonts w:hint="eastAsia" w:ascii="Times New Roman" w:hAnsi="Times New Roman" w:eastAsia="MS Mincho"/>
                <w:bCs/>
                <w:sz w:val="20"/>
                <w:lang w:val="en-US" w:eastAsia="zh-CN"/>
              </w:rPr>
              <w:t>863</w:t>
            </w:r>
            <w:r>
              <w:rPr>
                <w:rFonts w:hint="default" w:ascii="Times New Roman" w:hAnsi="Times New Roman" w:eastAsia="MS Mincho"/>
                <w:bCs/>
                <w:sz w:val="20"/>
                <w:lang w:val="en-US" w:eastAsia="zh-CN"/>
              </w:rPr>
              <w:t xml:space="preserve"> principles/formula</w:t>
            </w:r>
          </w:p>
        </w:tc>
        <w:tc>
          <w:tcPr>
            <w:tcW w:w="2415" w:type="dxa"/>
          </w:tcPr>
          <w:p w14:paraId="49873A79">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Would need to be studied in the 6G SI scope</w:t>
            </w:r>
          </w:p>
        </w:tc>
      </w:tr>
      <w:tr w14:paraId="4987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14:paraId="49873A7B">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bCs/>
                <w:color w:val="0070C0"/>
                <w:szCs w:val="24"/>
                <w:lang w:val="en-US" w:eastAsia="zh-CN"/>
              </w:rPr>
            </w:pPr>
            <w:r>
              <w:rPr>
                <w:rFonts w:hint="default" w:ascii="Times New Roman" w:hAnsi="Times New Roman" w:eastAsia="MS Mincho"/>
                <w:bCs/>
                <w:i/>
                <w:iCs/>
                <w:sz w:val="20"/>
                <w:lang w:val="sv-SE" w:eastAsia="zh-CN"/>
              </w:rPr>
              <w:t>Conducted requirements</w:t>
            </w:r>
          </w:p>
        </w:tc>
      </w:tr>
      <w:tr w14:paraId="4987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3002183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 xml:space="preserve">Satellite Access Node output power </w:t>
            </w:r>
          </w:p>
          <w:p w14:paraId="71D6B68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p>
        </w:tc>
        <w:tc>
          <w:tcPr>
            <w:tcW w:w="2126" w:type="dxa"/>
          </w:tcPr>
          <w:p w14:paraId="49873A7E">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7F">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US"/>
              </w:rPr>
            </w:pPr>
          </w:p>
        </w:tc>
        <w:tc>
          <w:tcPr>
            <w:tcW w:w="2415" w:type="dxa"/>
          </w:tcPr>
          <w:p w14:paraId="49873A8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Output power dynamics</w:t>
            </w:r>
          </w:p>
        </w:tc>
        <w:tc>
          <w:tcPr>
            <w:tcW w:w="2126" w:type="dxa"/>
          </w:tcPr>
          <w:p w14:paraId="49873A83">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84">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8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RE power control dynamic range</w:t>
            </w:r>
          </w:p>
        </w:tc>
        <w:tc>
          <w:tcPr>
            <w:tcW w:w="2126" w:type="dxa"/>
          </w:tcPr>
          <w:p w14:paraId="49873A88">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49873A89">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49873A8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Total power dynamic range</w:t>
            </w:r>
          </w:p>
        </w:tc>
        <w:tc>
          <w:tcPr>
            <w:tcW w:w="2126" w:type="dxa"/>
          </w:tcPr>
          <w:p w14:paraId="49873A8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8E">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8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Due to the larger CBW and increasing PRB numbers, then this requirement should be updated accordingly.</w:t>
            </w:r>
          </w:p>
        </w:tc>
      </w:tr>
      <w:tr w14:paraId="4987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 ON/OFF</w:t>
            </w:r>
          </w:p>
        </w:tc>
        <w:tc>
          <w:tcPr>
            <w:tcW w:w="2126" w:type="dxa"/>
          </w:tcPr>
          <w:p w14:paraId="49873A92">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49873A93">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Transmitted signal quality</w:t>
            </w:r>
          </w:p>
        </w:tc>
        <w:tc>
          <w:tcPr>
            <w:tcW w:w="2126" w:type="dxa"/>
          </w:tcPr>
          <w:p w14:paraId="49873A97">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98">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Frequency error</w:t>
            </w:r>
          </w:p>
        </w:tc>
        <w:tc>
          <w:tcPr>
            <w:tcW w:w="2126" w:type="dxa"/>
          </w:tcPr>
          <w:p w14:paraId="49873A9C">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0" w:type="dxa"/>
          </w:tcPr>
          <w:p w14:paraId="49873A9D">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Modulation quality</w:t>
            </w:r>
          </w:p>
        </w:tc>
        <w:tc>
          <w:tcPr>
            <w:tcW w:w="2126" w:type="dxa"/>
          </w:tcPr>
          <w:p w14:paraId="49873AA1">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A2">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5" w:type="dxa"/>
          </w:tcPr>
          <w:p w14:paraId="49873AA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Please find the detailed analysis in 2.3.1.</w:t>
            </w:r>
          </w:p>
        </w:tc>
      </w:tr>
      <w:tr w14:paraId="49873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Time alignment error</w:t>
            </w:r>
          </w:p>
        </w:tc>
        <w:tc>
          <w:tcPr>
            <w:tcW w:w="2126" w:type="dxa"/>
          </w:tcPr>
          <w:p w14:paraId="49873AA6">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49873AA7">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A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This depends the CA discussion in 5G-A phase in Rel-20.</w:t>
            </w:r>
          </w:p>
        </w:tc>
      </w:tr>
      <w:tr w14:paraId="49873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Unwanted emissions</w:t>
            </w:r>
          </w:p>
        </w:tc>
        <w:tc>
          <w:tcPr>
            <w:tcW w:w="2126" w:type="dxa"/>
          </w:tcPr>
          <w:p w14:paraId="49873AAB">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AC">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A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F">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Occupied bandwidth</w:t>
            </w:r>
          </w:p>
        </w:tc>
        <w:tc>
          <w:tcPr>
            <w:tcW w:w="2126" w:type="dxa"/>
          </w:tcPr>
          <w:p w14:paraId="49873AB0">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B1">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B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4">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ACLR</w:t>
            </w:r>
          </w:p>
        </w:tc>
        <w:tc>
          <w:tcPr>
            <w:tcW w:w="2126" w:type="dxa"/>
          </w:tcPr>
          <w:p w14:paraId="49873AB5">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B6">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B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highly dependent on the 6GR coexistence study.</w:t>
            </w:r>
          </w:p>
        </w:tc>
      </w:tr>
      <w:tr w14:paraId="4987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9">
            <w:pPr>
              <w:pStyle w:val="40"/>
              <w:suppressLineNumbers w:val="0"/>
              <w:tabs>
                <w:tab w:val="left" w:pos="316"/>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Operating Band Unwanted Emissions</w:t>
            </w:r>
          </w:p>
        </w:tc>
        <w:tc>
          <w:tcPr>
            <w:tcW w:w="2126" w:type="dxa"/>
          </w:tcPr>
          <w:p w14:paraId="49873ABA">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BB">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49873AB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r>
              <w:rPr>
                <w:rFonts w:hint="eastAsia" w:ascii="Times New Roman" w:hAnsi="Times New Roman" w:cs="Times New Roman"/>
                <w:sz w:val="20"/>
                <w:lang w:val="en-US" w:eastAsia="zh-CN"/>
              </w:rPr>
              <w:t>This is from ITU recommendation.</w:t>
            </w:r>
          </w:p>
        </w:tc>
      </w:tr>
      <w:tr w14:paraId="4987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E">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i/>
                <w:iCs/>
                <w:sz w:val="20"/>
                <w:lang w:val="sv-SE" w:eastAsia="zh-CN"/>
              </w:rPr>
              <w:t>Transmitter spurious emission</w:t>
            </w:r>
          </w:p>
        </w:tc>
        <w:tc>
          <w:tcPr>
            <w:tcW w:w="2126" w:type="dxa"/>
          </w:tcPr>
          <w:p w14:paraId="49873ABF">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0" w:type="dxa"/>
          </w:tcPr>
          <w:p w14:paraId="49873AC0">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C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3">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General requirement</w:t>
            </w:r>
          </w:p>
        </w:tc>
        <w:tc>
          <w:tcPr>
            <w:tcW w:w="2126" w:type="dxa"/>
          </w:tcPr>
          <w:p w14:paraId="49873AC4">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49873AC5">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C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from regulatory requirement and don’t see the necessity of change.</w:t>
            </w:r>
          </w:p>
        </w:tc>
      </w:tr>
      <w:tr w14:paraId="4987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8">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Protection of BS receiver of own                     </w:t>
            </w:r>
          </w:p>
          <w:p w14:paraId="49873AC9">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or different BS</w:t>
            </w:r>
          </w:p>
        </w:tc>
        <w:tc>
          <w:tcPr>
            <w:tcW w:w="2126" w:type="dxa"/>
          </w:tcPr>
          <w:p w14:paraId="49873ACA">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49873ACB">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7B09BDD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E">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Additional spurious (coex)</w:t>
            </w:r>
          </w:p>
        </w:tc>
        <w:tc>
          <w:tcPr>
            <w:tcW w:w="2126" w:type="dxa"/>
          </w:tcPr>
          <w:p w14:paraId="49873ACF">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14:paraId="49873AD0">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14:paraId="49873AD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3">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Co-location</w:t>
            </w:r>
          </w:p>
        </w:tc>
        <w:tc>
          <w:tcPr>
            <w:tcW w:w="2126" w:type="dxa"/>
          </w:tcPr>
          <w:p w14:paraId="49873AD4">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14:paraId="49873AD5">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49873AD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p>
        </w:tc>
      </w:tr>
      <w:tr w14:paraId="49873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Transmitter intermodulation</w:t>
            </w:r>
          </w:p>
        </w:tc>
        <w:tc>
          <w:tcPr>
            <w:tcW w:w="2126" w:type="dxa"/>
          </w:tcPr>
          <w:p w14:paraId="49873AD9">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14:paraId="49873ADA">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14:paraId="49873AD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D">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sensitivity level</w:t>
            </w:r>
          </w:p>
        </w:tc>
        <w:tc>
          <w:tcPr>
            <w:tcW w:w="2126" w:type="dxa"/>
          </w:tcPr>
          <w:p w14:paraId="49873ADE">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DF">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AE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NF from 5G could be reuse for 6G. The current equation for REFSENS definition could be reused. FFS to discuss the FRC for larger channel bandwidth e.g. 200MHz or 400MHz in FR1 to simplify the conformance testing.</w:t>
            </w:r>
          </w:p>
        </w:tc>
      </w:tr>
      <w:tr w14:paraId="4987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2">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Dynamic range</w:t>
            </w:r>
          </w:p>
        </w:tc>
        <w:tc>
          <w:tcPr>
            <w:tcW w:w="2126" w:type="dxa"/>
          </w:tcPr>
          <w:p w14:paraId="49873AE3">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E4">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E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p>
        </w:tc>
      </w:tr>
      <w:tr w14:paraId="4987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7">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In-band selectivity and blocking</w:t>
            </w:r>
          </w:p>
        </w:tc>
        <w:tc>
          <w:tcPr>
            <w:tcW w:w="2126" w:type="dxa"/>
          </w:tcPr>
          <w:p w14:paraId="49873AE8">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E9">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E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C">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ACS</w:t>
            </w:r>
          </w:p>
        </w:tc>
        <w:tc>
          <w:tcPr>
            <w:tcW w:w="2126" w:type="dxa"/>
          </w:tcPr>
          <w:p w14:paraId="49873AE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49873AEE">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14:paraId="49873AE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1">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In-band blocking</w:t>
            </w:r>
          </w:p>
        </w:tc>
        <w:tc>
          <w:tcPr>
            <w:tcW w:w="2126" w:type="dxa"/>
          </w:tcPr>
          <w:p w14:paraId="49873AF2">
            <w:pPr>
              <w:pStyle w:val="39"/>
              <w:suppressLineNumbers w:val="0"/>
              <w:overflowPunct w:val="0"/>
              <w:autoSpaceDE w:val="0"/>
              <w:autoSpaceDN w:val="0"/>
              <w:adjustRightInd w:val="0"/>
              <w:spacing w:before="0" w:beforeAutospacing="0" w:afterAutospacing="0"/>
              <w:ind w:left="0" w:right="0"/>
              <w:jc w:val="both"/>
              <w:textAlignment w:val="baseline"/>
              <w:rPr>
                <w:rFonts w:hint="default" w:eastAsia="宋体"/>
                <w:sz w:val="20"/>
                <w:lang w:val="en-US" w:eastAsia="zh-CN"/>
              </w:rPr>
            </w:pPr>
            <w:r>
              <w:rPr>
                <w:rFonts w:hint="eastAsia" w:eastAsia="宋体"/>
                <w:sz w:val="20"/>
                <w:lang w:val="en-US" w:eastAsia="zh-CN"/>
              </w:rPr>
              <w:t xml:space="preserve">         NA</w:t>
            </w:r>
          </w:p>
        </w:tc>
        <w:tc>
          <w:tcPr>
            <w:tcW w:w="2410" w:type="dxa"/>
          </w:tcPr>
          <w:p w14:paraId="49873AF3">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49873AF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6">
            <w:pPr>
              <w:pStyle w:val="40"/>
              <w:suppressLineNumbers w:val="0"/>
              <w:tabs>
                <w:tab w:val="left" w:pos="32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Out of band blocking</w:t>
            </w:r>
          </w:p>
        </w:tc>
        <w:tc>
          <w:tcPr>
            <w:tcW w:w="2126" w:type="dxa"/>
          </w:tcPr>
          <w:p w14:paraId="49873AF7">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F8">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49873AF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B">
            <w:pPr>
              <w:pStyle w:val="40"/>
              <w:suppressLineNumbers w:val="0"/>
              <w:tabs>
                <w:tab w:val="left" w:pos="33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spurious emissions</w:t>
            </w:r>
          </w:p>
        </w:tc>
        <w:tc>
          <w:tcPr>
            <w:tcW w:w="2126" w:type="dxa"/>
          </w:tcPr>
          <w:p w14:paraId="49873AFC">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49873AFD">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F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0">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intermodulation</w:t>
            </w:r>
          </w:p>
        </w:tc>
        <w:tc>
          <w:tcPr>
            <w:tcW w:w="2126" w:type="dxa"/>
          </w:tcPr>
          <w:p w14:paraId="49873B01">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49873B02">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064B897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In channel selectivity</w:t>
            </w:r>
          </w:p>
        </w:tc>
        <w:tc>
          <w:tcPr>
            <w:tcW w:w="2126" w:type="dxa"/>
          </w:tcPr>
          <w:p w14:paraId="49873B06">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B07">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B0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r w14:paraId="4987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14:paraId="49873B0A">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Times New Roman" w:hAnsi="Times New Roman" w:eastAsia="Yu Mincho" w:cs="Times New Roman"/>
                <w:b/>
                <w:bCs/>
                <w:i/>
                <w:iCs/>
                <w:sz w:val="20"/>
                <w:lang w:val="en-GB"/>
              </w:rPr>
            </w:pPr>
            <w:r>
              <w:rPr>
                <w:rFonts w:hint="default" w:ascii="Times New Roman" w:hAnsi="Times New Roman" w:eastAsia="MS Mincho" w:cs="Times New Roman"/>
                <w:b/>
                <w:bCs/>
                <w:i/>
                <w:iCs/>
                <w:sz w:val="20"/>
                <w:lang w:val="sv-SE" w:eastAsia="zh-CN"/>
              </w:rPr>
              <w:t>Radiated requirements</w:t>
            </w:r>
          </w:p>
        </w:tc>
      </w:tr>
      <w:tr w14:paraId="49873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Radiated transmit power</w:t>
            </w:r>
          </w:p>
        </w:tc>
        <w:tc>
          <w:tcPr>
            <w:tcW w:w="2126" w:type="dxa"/>
          </w:tcPr>
          <w:p w14:paraId="49873B0D">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0" w:type="dxa"/>
          </w:tcPr>
          <w:p w14:paraId="49873B0E">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ja-JP" w:bidi="ar-SA"/>
              </w:rPr>
            </w:pPr>
          </w:p>
        </w:tc>
        <w:tc>
          <w:tcPr>
            <w:tcW w:w="2415" w:type="dxa"/>
          </w:tcPr>
          <w:p w14:paraId="5EC26DC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EIRP related</w:t>
            </w:r>
            <w:r>
              <w:rPr>
                <w:rFonts w:hint="default" w:ascii="Times New Roman" w:hAnsi="Times New Roman" w:eastAsia="宋体" w:cs="Times New Roman"/>
                <w:sz w:val="20"/>
                <w:lang w:val="en-US" w:eastAsia="zh-CN"/>
              </w:rPr>
              <w:t xml:space="preserve"> accuracy from </w:t>
            </w:r>
            <w:r>
              <w:rPr>
                <w:rFonts w:hint="default" w:ascii="Times New Roman" w:hAnsi="Times New Roman" w:cs="Times New Roman"/>
                <w:sz w:val="20"/>
                <w:lang w:val="en-US" w:eastAsia="zh-CN"/>
              </w:rPr>
              <w:t xml:space="preserve"> </w:t>
            </w:r>
            <w:r>
              <w:rPr>
                <w:rFonts w:hint="default" w:ascii="Times New Roman" w:hAnsi="Times New Roman" w:eastAsia="宋体" w:cs="Times New Roman"/>
                <w:sz w:val="20"/>
                <w:lang w:val="en-US" w:eastAsia="zh-CN"/>
              </w:rPr>
              <w:t>5G could be reused for 6G</w:t>
            </w:r>
            <w:r>
              <w:rPr>
                <w:rFonts w:hint="default" w:ascii="Times New Roman" w:hAnsi="Times New Roman" w:cs="Times New Roman"/>
                <w:sz w:val="20"/>
                <w:lang w:val="en-US" w:eastAsia="zh-CN"/>
              </w:rPr>
              <w:t>.</w:t>
            </w:r>
          </w:p>
        </w:tc>
      </w:tr>
      <w:tr w14:paraId="4987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rPr>
              <w:t>OTA Satellite Access Node output power</w:t>
            </w:r>
          </w:p>
        </w:tc>
        <w:tc>
          <w:tcPr>
            <w:tcW w:w="2126" w:type="dxa"/>
            <w:shd w:val="clear" w:color="auto" w:fill="auto"/>
            <w:vAlign w:val="top"/>
          </w:tcPr>
          <w:p w14:paraId="49873B12">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14:paraId="49873B13">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13ACB0A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cs="Times New Roman"/>
                <w:sz w:val="20"/>
                <w:lang w:val="en-US" w:eastAsia="zh-CN"/>
              </w:rPr>
              <w:t>TRP related</w:t>
            </w:r>
            <w:r>
              <w:rPr>
                <w:rFonts w:hint="default" w:ascii="Times New Roman" w:hAnsi="Times New Roman" w:eastAsia="宋体" w:cs="Times New Roman"/>
                <w:sz w:val="20"/>
                <w:lang w:val="en-US" w:eastAsia="zh-CN"/>
              </w:rPr>
              <w:t xml:space="preserve"> accuracy from 5G could be reused for 6G</w:t>
            </w:r>
            <w:r>
              <w:rPr>
                <w:rFonts w:hint="default" w:ascii="Times New Roman" w:hAnsi="Times New Roman" w:cs="Times New Roman"/>
                <w:sz w:val="20"/>
                <w:lang w:val="en-US" w:eastAsia="zh-CN"/>
              </w:rPr>
              <w:t>.</w:t>
            </w:r>
          </w:p>
        </w:tc>
      </w:tr>
      <w:tr w14:paraId="4987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output power dynamics</w:t>
            </w:r>
          </w:p>
        </w:tc>
        <w:tc>
          <w:tcPr>
            <w:tcW w:w="2126" w:type="dxa"/>
            <w:shd w:val="clear" w:color="auto" w:fill="auto"/>
            <w:vAlign w:val="top"/>
          </w:tcPr>
          <w:p w14:paraId="49873B17">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18">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1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RE power control dynamic range</w:t>
            </w:r>
          </w:p>
        </w:tc>
        <w:tc>
          <w:tcPr>
            <w:tcW w:w="2126" w:type="dxa"/>
            <w:shd w:val="clear" w:color="auto" w:fill="auto"/>
            <w:vAlign w:val="top"/>
          </w:tcPr>
          <w:p w14:paraId="49873B1C">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49873B1D">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p>
        </w:tc>
        <w:tc>
          <w:tcPr>
            <w:tcW w:w="2415" w:type="dxa"/>
          </w:tcPr>
          <w:p w14:paraId="49873B1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The same as conducted part</w:t>
            </w:r>
          </w:p>
        </w:tc>
      </w:tr>
      <w:tr w14:paraId="4987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Total power dynamic range</w:t>
            </w:r>
          </w:p>
        </w:tc>
        <w:tc>
          <w:tcPr>
            <w:tcW w:w="2126" w:type="dxa"/>
            <w:shd w:val="clear" w:color="auto" w:fill="auto"/>
            <w:vAlign w:val="top"/>
          </w:tcPr>
          <w:p w14:paraId="49873B21">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22">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14:paraId="49873B2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 ON/OFF</w:t>
            </w:r>
          </w:p>
        </w:tc>
        <w:tc>
          <w:tcPr>
            <w:tcW w:w="2126" w:type="dxa"/>
            <w:shd w:val="clear" w:color="auto" w:fill="auto"/>
            <w:vAlign w:val="top"/>
          </w:tcPr>
          <w:p w14:paraId="49873B26">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US" w:eastAsia="ja-JP" w:bidi="ar-SA"/>
              </w:rPr>
            </w:pPr>
            <w:r>
              <w:rPr>
                <w:rFonts w:hint="eastAsia" w:eastAsia="宋体"/>
                <w:color w:val="000000" w:themeColor="text1"/>
                <w:szCs w:val="24"/>
                <w:lang w:val="en-US" w:eastAsia="zh-CN"/>
                <w14:textFill>
                  <w14:solidFill>
                    <w14:schemeClr w14:val="tx1"/>
                  </w14:solidFill>
                </w14:textFill>
              </w:rPr>
              <w:t>NA</w:t>
            </w:r>
          </w:p>
        </w:tc>
        <w:tc>
          <w:tcPr>
            <w:tcW w:w="2410" w:type="dxa"/>
            <w:shd w:val="clear" w:color="auto" w:fill="auto"/>
            <w:vAlign w:val="top"/>
          </w:tcPr>
          <w:p w14:paraId="49873B27">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2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transmitted signal quality</w:t>
            </w:r>
          </w:p>
        </w:tc>
        <w:tc>
          <w:tcPr>
            <w:tcW w:w="2126" w:type="dxa"/>
            <w:shd w:val="clear" w:color="auto" w:fill="auto"/>
            <w:vAlign w:val="top"/>
          </w:tcPr>
          <w:p w14:paraId="49873B2B">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2C">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2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Frequency error</w:t>
            </w:r>
          </w:p>
        </w:tc>
        <w:tc>
          <w:tcPr>
            <w:tcW w:w="2126" w:type="dxa"/>
            <w:shd w:val="clear" w:color="auto" w:fill="auto"/>
            <w:vAlign w:val="top"/>
          </w:tcPr>
          <w:p w14:paraId="49873B30">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default" w:eastAsia="宋体"/>
                <w:color w:val="000000" w:themeColor="text1"/>
                <w:szCs w:val="24"/>
                <w:lang w:eastAsia="zh-CN"/>
                <w14:textFill>
                  <w14:solidFill>
                    <w14:schemeClr w14:val="tx1"/>
                  </w14:solidFill>
                </w14:textFill>
              </w:rPr>
              <w:t>X</w:t>
            </w:r>
          </w:p>
        </w:tc>
        <w:tc>
          <w:tcPr>
            <w:tcW w:w="2410" w:type="dxa"/>
            <w:shd w:val="clear" w:color="auto" w:fill="auto"/>
            <w:vAlign w:val="top"/>
          </w:tcPr>
          <w:p w14:paraId="49873B31">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3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Modulation quality</w:t>
            </w:r>
          </w:p>
        </w:tc>
        <w:tc>
          <w:tcPr>
            <w:tcW w:w="2126" w:type="dxa"/>
            <w:shd w:val="clear" w:color="auto" w:fill="auto"/>
            <w:vAlign w:val="top"/>
          </w:tcPr>
          <w:p w14:paraId="49873B35">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36">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r>
              <w:rPr>
                <w:rFonts w:hint="default" w:ascii="Arial" w:hAnsi="Arial" w:eastAsia="Yu Mincho" w:cs="Times New Roman"/>
                <w:kern w:val="0"/>
                <w:sz w:val="20"/>
                <w:szCs w:val="20"/>
                <w:lang w:val="en-GB" w:eastAsia="zh-CN" w:bidi="ar-SA"/>
              </w:rPr>
              <w:t>X</w:t>
            </w:r>
          </w:p>
        </w:tc>
        <w:tc>
          <w:tcPr>
            <w:tcW w:w="2415" w:type="dxa"/>
          </w:tcPr>
          <w:p w14:paraId="49873B3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Time alignment error</w:t>
            </w:r>
          </w:p>
        </w:tc>
        <w:tc>
          <w:tcPr>
            <w:tcW w:w="2126" w:type="dxa"/>
            <w:shd w:val="clear" w:color="auto" w:fill="auto"/>
            <w:vAlign w:val="top"/>
          </w:tcPr>
          <w:p w14:paraId="49873B3A">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3B">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r>
              <w:rPr>
                <w:rFonts w:hint="default" w:ascii="Arial" w:hAnsi="Arial" w:eastAsia="Yu Mincho" w:cs="Times New Roman"/>
                <w:kern w:val="0"/>
                <w:sz w:val="20"/>
                <w:szCs w:val="20"/>
                <w:lang w:val="en-GB" w:eastAsia="zh-CN" w:bidi="ar-SA"/>
              </w:rPr>
              <w:t>X</w:t>
            </w:r>
          </w:p>
        </w:tc>
        <w:tc>
          <w:tcPr>
            <w:tcW w:w="2415" w:type="dxa"/>
          </w:tcPr>
          <w:p w14:paraId="49873B3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Unwanted emissions</w:t>
            </w:r>
          </w:p>
        </w:tc>
        <w:tc>
          <w:tcPr>
            <w:tcW w:w="2126" w:type="dxa"/>
            <w:shd w:val="clear" w:color="auto" w:fill="auto"/>
            <w:vAlign w:val="top"/>
          </w:tcPr>
          <w:p w14:paraId="49873B3F">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0">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4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4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Occupied bandwidth</w:t>
            </w:r>
          </w:p>
        </w:tc>
        <w:tc>
          <w:tcPr>
            <w:tcW w:w="2126" w:type="dxa"/>
            <w:shd w:val="clear" w:color="auto" w:fill="auto"/>
            <w:vAlign w:val="top"/>
          </w:tcPr>
          <w:p w14:paraId="49873B44">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14:paraId="49873B45">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4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4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ACLR</w:t>
            </w:r>
          </w:p>
        </w:tc>
        <w:tc>
          <w:tcPr>
            <w:tcW w:w="2126" w:type="dxa"/>
            <w:shd w:val="clear" w:color="auto" w:fill="auto"/>
            <w:vAlign w:val="top"/>
          </w:tcPr>
          <w:p w14:paraId="49873B49">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A">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14:paraId="49873B4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4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ab/>
            </w:r>
            <w:r>
              <w:rPr>
                <w:rFonts w:hint="default" w:ascii="Times New Roman" w:hAnsi="Times New Roman" w:eastAsia="MS Mincho"/>
                <w:sz w:val="20"/>
                <w:lang w:val="en-US" w:eastAsia="zh-CN"/>
              </w:rPr>
              <w:t>OTA Operating Band Unwanted Emissions</w:t>
            </w:r>
          </w:p>
        </w:tc>
        <w:tc>
          <w:tcPr>
            <w:tcW w:w="2126" w:type="dxa"/>
            <w:shd w:val="clear" w:color="auto" w:fill="auto"/>
            <w:vAlign w:val="top"/>
          </w:tcPr>
          <w:p w14:paraId="49873B4E">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F">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14:paraId="49873B5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en-US" w:eastAsia="zh-CN"/>
              </w:rPr>
              <w:tab/>
            </w:r>
            <w:r>
              <w:rPr>
                <w:rFonts w:hint="default" w:ascii="Times New Roman" w:hAnsi="Times New Roman" w:eastAsia="MS Mincho"/>
                <w:i/>
                <w:iCs/>
                <w:sz w:val="20"/>
                <w:lang w:val="sv-SE" w:eastAsia="zh-CN"/>
              </w:rPr>
              <w:t>OTA Transmitter spurious emission</w:t>
            </w:r>
          </w:p>
        </w:tc>
        <w:tc>
          <w:tcPr>
            <w:tcW w:w="2126" w:type="dxa"/>
            <w:shd w:val="clear" w:color="auto" w:fill="auto"/>
            <w:vAlign w:val="top"/>
          </w:tcPr>
          <w:p w14:paraId="49873B53">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0" w:type="dxa"/>
            <w:shd w:val="clear" w:color="auto" w:fill="auto"/>
            <w:vAlign w:val="top"/>
          </w:tcPr>
          <w:p w14:paraId="49873B54">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5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General requirement</w:t>
            </w:r>
          </w:p>
        </w:tc>
        <w:tc>
          <w:tcPr>
            <w:tcW w:w="2126" w:type="dxa"/>
            <w:shd w:val="clear" w:color="auto" w:fill="auto"/>
            <w:vAlign w:val="top"/>
          </w:tcPr>
          <w:p w14:paraId="49873B58">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49873B59">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5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C">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Protection of BS receiver of </w:t>
            </w:r>
          </w:p>
          <w:p w14:paraId="49873B5D">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own or different BS</w:t>
            </w:r>
          </w:p>
        </w:tc>
        <w:tc>
          <w:tcPr>
            <w:tcW w:w="2126" w:type="dxa"/>
            <w:shd w:val="clear" w:color="auto" w:fill="auto"/>
            <w:vAlign w:val="top"/>
          </w:tcPr>
          <w:p w14:paraId="49873B5E">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5F">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0DB7840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6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Additional spurious (coex)</w:t>
            </w:r>
          </w:p>
        </w:tc>
        <w:tc>
          <w:tcPr>
            <w:tcW w:w="2126" w:type="dxa"/>
            <w:shd w:val="clear" w:color="auto" w:fill="auto"/>
            <w:vAlign w:val="top"/>
          </w:tcPr>
          <w:p w14:paraId="49873B63">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64">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14:paraId="49873B6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6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Co-location</w:t>
            </w:r>
          </w:p>
        </w:tc>
        <w:tc>
          <w:tcPr>
            <w:tcW w:w="2126" w:type="dxa"/>
            <w:shd w:val="clear" w:color="auto" w:fill="auto"/>
            <w:vAlign w:val="top"/>
          </w:tcPr>
          <w:p w14:paraId="49873B68">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ja-JP"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69">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5" w:type="dxa"/>
          </w:tcPr>
          <w:p w14:paraId="49873B6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4106" w:type="dxa"/>
          </w:tcPr>
          <w:p w14:paraId="49873B6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transmitter intermodulation</w:t>
            </w:r>
          </w:p>
        </w:tc>
        <w:tc>
          <w:tcPr>
            <w:tcW w:w="2126" w:type="dxa"/>
            <w:shd w:val="clear" w:color="auto" w:fill="auto"/>
            <w:vAlign w:val="top"/>
          </w:tcPr>
          <w:p w14:paraId="49873B6D">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6E">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14:paraId="49873B6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sensitivity</w:t>
            </w:r>
          </w:p>
        </w:tc>
        <w:tc>
          <w:tcPr>
            <w:tcW w:w="2126" w:type="dxa"/>
            <w:shd w:val="clear" w:color="auto" w:fill="auto"/>
            <w:vAlign w:val="top"/>
          </w:tcPr>
          <w:p w14:paraId="49873B72">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X</w:t>
            </w:r>
          </w:p>
        </w:tc>
        <w:tc>
          <w:tcPr>
            <w:tcW w:w="2410" w:type="dxa"/>
            <w:shd w:val="clear" w:color="auto" w:fill="auto"/>
            <w:vAlign w:val="top"/>
          </w:tcPr>
          <w:p w14:paraId="49873B73">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14:paraId="49873B7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sensitivity level</w:t>
            </w:r>
          </w:p>
        </w:tc>
        <w:tc>
          <w:tcPr>
            <w:tcW w:w="2126" w:type="dxa"/>
            <w:shd w:val="clear" w:color="auto" w:fill="auto"/>
            <w:vAlign w:val="top"/>
          </w:tcPr>
          <w:p w14:paraId="49873B77">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14:paraId="49873B78">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14:paraId="49873B7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Similar as conducted part</w:t>
            </w:r>
          </w:p>
        </w:tc>
      </w:tr>
      <w:tr w14:paraId="4987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dynamic range</w:t>
            </w:r>
          </w:p>
        </w:tc>
        <w:tc>
          <w:tcPr>
            <w:tcW w:w="2126" w:type="dxa"/>
            <w:shd w:val="clear" w:color="auto" w:fill="auto"/>
            <w:vAlign w:val="top"/>
          </w:tcPr>
          <w:p w14:paraId="49873B7C">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14:paraId="49873B7D">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14:paraId="49873B7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OTA in-band selectivity and blocking</w:t>
            </w:r>
          </w:p>
        </w:tc>
        <w:tc>
          <w:tcPr>
            <w:tcW w:w="2126" w:type="dxa"/>
            <w:shd w:val="clear" w:color="auto" w:fill="auto"/>
            <w:vAlign w:val="top"/>
          </w:tcPr>
          <w:p w14:paraId="49873B81">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14:paraId="49873B82">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宋体" w:cs="Times New Roman"/>
                <w:kern w:val="0"/>
                <w:sz w:val="20"/>
                <w:szCs w:val="20"/>
                <w:lang w:val="en-GB" w:eastAsia="zh-CN" w:bidi="ar-SA"/>
              </w:rPr>
            </w:pPr>
          </w:p>
        </w:tc>
        <w:tc>
          <w:tcPr>
            <w:tcW w:w="2415" w:type="dxa"/>
          </w:tcPr>
          <w:p w14:paraId="49873B8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OTA ACS</w:t>
            </w:r>
          </w:p>
        </w:tc>
        <w:tc>
          <w:tcPr>
            <w:tcW w:w="2126" w:type="dxa"/>
            <w:shd w:val="clear" w:color="auto" w:fill="auto"/>
            <w:vAlign w:val="top"/>
          </w:tcPr>
          <w:p w14:paraId="49873B86">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X</w:t>
            </w:r>
          </w:p>
        </w:tc>
        <w:tc>
          <w:tcPr>
            <w:tcW w:w="2410" w:type="dxa"/>
            <w:shd w:val="clear" w:color="auto" w:fill="auto"/>
            <w:vAlign w:val="top"/>
          </w:tcPr>
          <w:p w14:paraId="49873B87">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49873B8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In-band blocking</w:t>
            </w:r>
          </w:p>
        </w:tc>
        <w:tc>
          <w:tcPr>
            <w:tcW w:w="2126" w:type="dxa"/>
            <w:shd w:val="clear" w:color="auto" w:fill="auto"/>
            <w:vAlign w:val="top"/>
          </w:tcPr>
          <w:p w14:paraId="49873B8B">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8C">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49873B8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OTA out of band blocking</w:t>
            </w:r>
          </w:p>
        </w:tc>
        <w:tc>
          <w:tcPr>
            <w:tcW w:w="2126" w:type="dxa"/>
            <w:shd w:val="clear" w:color="auto" w:fill="auto"/>
            <w:vAlign w:val="top"/>
          </w:tcPr>
          <w:p w14:paraId="49873B90">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zh-CN" w:bidi="ar-SA"/>
              </w:rPr>
            </w:pPr>
            <w:r>
              <w:rPr>
                <w:rFonts w:hint="eastAsia" w:eastAsia="宋体" w:cs="Times New Roman"/>
                <w:kern w:val="0"/>
                <w:sz w:val="20"/>
                <w:szCs w:val="20"/>
                <w:lang w:val="en-US" w:eastAsia="zh-CN" w:bidi="ar-SA"/>
              </w:rPr>
              <w:t>X</w:t>
            </w:r>
          </w:p>
        </w:tc>
        <w:tc>
          <w:tcPr>
            <w:tcW w:w="2410" w:type="dxa"/>
            <w:shd w:val="clear" w:color="auto" w:fill="auto"/>
            <w:vAlign w:val="top"/>
          </w:tcPr>
          <w:p w14:paraId="49873B91">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9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spurious emissions</w:t>
            </w:r>
          </w:p>
        </w:tc>
        <w:tc>
          <w:tcPr>
            <w:tcW w:w="2126" w:type="dxa"/>
            <w:shd w:val="clear" w:color="auto" w:fill="auto"/>
            <w:vAlign w:val="top"/>
          </w:tcPr>
          <w:p w14:paraId="49873B95">
            <w:pPr>
              <w:pStyle w:val="39"/>
              <w:suppressLineNumbers w:val="0"/>
              <w:overflowPunct w:val="0"/>
              <w:autoSpaceDE w:val="0"/>
              <w:autoSpaceDN w:val="0"/>
              <w:adjustRightInd w:val="0"/>
              <w:spacing w:before="0" w:beforeAutospacing="0" w:afterAutospacing="0"/>
              <w:ind w:left="0" w:right="0"/>
              <w:textAlignment w:val="baseline"/>
              <w:rPr>
                <w:rFonts w:hint="default"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96">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49873B9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intermodulation</w:t>
            </w:r>
          </w:p>
        </w:tc>
        <w:tc>
          <w:tcPr>
            <w:tcW w:w="2126" w:type="dxa"/>
            <w:shd w:val="clear" w:color="auto" w:fill="auto"/>
            <w:vAlign w:val="top"/>
          </w:tcPr>
          <w:p w14:paraId="49873B9A">
            <w:pPr>
              <w:pStyle w:val="39"/>
              <w:suppressLineNumbers w:val="0"/>
              <w:overflowPunct w:val="0"/>
              <w:autoSpaceDE w:val="0"/>
              <w:autoSpaceDN w:val="0"/>
              <w:adjustRightInd w:val="0"/>
              <w:spacing w:before="0" w:beforeAutospacing="0" w:afterAutospacing="0"/>
              <w:ind w:left="0" w:right="0"/>
              <w:textAlignment w:val="baseline"/>
              <w:rPr>
                <w:rFonts w:hint="default"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9B">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49873B9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in channel selectivity</w:t>
            </w:r>
          </w:p>
        </w:tc>
        <w:tc>
          <w:tcPr>
            <w:tcW w:w="2126" w:type="dxa"/>
          </w:tcPr>
          <w:p w14:paraId="49873B9F">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vAlign w:val="top"/>
          </w:tcPr>
          <w:p w14:paraId="49873BA0">
            <w:pPr>
              <w:pStyle w:val="40"/>
              <w:suppressLineNumbers w:val="0"/>
              <w:overflowPunct w:val="0"/>
              <w:autoSpaceDE w:val="0"/>
              <w:autoSpaceDN w:val="0"/>
              <w:adjustRightInd w:val="0"/>
              <w:spacing w:before="0" w:beforeAutospacing="0" w:afterAutospacing="0"/>
              <w:ind w:left="0" w:right="0"/>
              <w:jc w:val="center"/>
              <w:textAlignment w:val="baseline"/>
              <w:rPr>
                <w:rFonts w:hint="default" w:eastAsia="宋体"/>
                <w:sz w:val="20"/>
                <w:lang w:val="en-US" w:eastAsia="zh-CN"/>
              </w:rPr>
            </w:pPr>
            <w:r>
              <w:rPr>
                <w:rFonts w:hint="eastAsia" w:eastAsia="宋体"/>
                <w:sz w:val="20"/>
                <w:lang w:val="en-US" w:eastAsia="zh-CN"/>
              </w:rPr>
              <w:t>X</w:t>
            </w:r>
          </w:p>
        </w:tc>
        <w:tc>
          <w:tcPr>
            <w:tcW w:w="2415" w:type="dxa"/>
            <w:vAlign w:val="top"/>
          </w:tcPr>
          <w:p w14:paraId="49873BA1">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bl>
    <w:p w14:paraId="65A621C2">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61C7DEF"/>
    <w:multiLevelType w:val="multilevel"/>
    <w:tmpl w:val="661C7DEF"/>
    <w:lvl w:ilvl="0" w:tentative="0">
      <w:start w:val="2"/>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8"/>
  </w:num>
  <w:num w:numId="3">
    <w:abstractNumId w:val="6"/>
  </w:num>
  <w:num w:numId="4">
    <w:abstractNumId w:val="4"/>
  </w:num>
  <w:num w:numId="5">
    <w:abstractNumId w:val="1"/>
  </w:num>
  <w:num w:numId="6">
    <w:abstractNumId w:val="2"/>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899"/>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3C2"/>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37CB4"/>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05B8D"/>
    <w:rsid w:val="02016155"/>
    <w:rsid w:val="020860D1"/>
    <w:rsid w:val="020967F0"/>
    <w:rsid w:val="020B6A0C"/>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84C0B"/>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21CB"/>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B1342"/>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35535"/>
    <w:rsid w:val="04FA68C4"/>
    <w:rsid w:val="04FB4499"/>
    <w:rsid w:val="04FB71D2"/>
    <w:rsid w:val="04FE63B4"/>
    <w:rsid w:val="04FF76AB"/>
    <w:rsid w:val="05010225"/>
    <w:rsid w:val="050164A3"/>
    <w:rsid w:val="050E236F"/>
    <w:rsid w:val="051034CD"/>
    <w:rsid w:val="05151950"/>
    <w:rsid w:val="051E6349"/>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169B7"/>
    <w:rsid w:val="065740AF"/>
    <w:rsid w:val="06580047"/>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4422"/>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3F6F5B"/>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D0E17"/>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17778D"/>
    <w:rsid w:val="0827264B"/>
    <w:rsid w:val="082A0972"/>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5962AF"/>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2E8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434E5"/>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72C0A"/>
    <w:rsid w:val="0B9B4AEA"/>
    <w:rsid w:val="0B9C0905"/>
    <w:rsid w:val="0B9E13B0"/>
    <w:rsid w:val="0BA23811"/>
    <w:rsid w:val="0BA50427"/>
    <w:rsid w:val="0BA63040"/>
    <w:rsid w:val="0BAA0B6D"/>
    <w:rsid w:val="0BAE72DF"/>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73B5D"/>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6EDE"/>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B50DD"/>
    <w:rsid w:val="0D9C4EA1"/>
    <w:rsid w:val="0DA060E8"/>
    <w:rsid w:val="0DA21DEB"/>
    <w:rsid w:val="0DA30F8A"/>
    <w:rsid w:val="0DA5089B"/>
    <w:rsid w:val="0DA57AAE"/>
    <w:rsid w:val="0DA67711"/>
    <w:rsid w:val="0DB02162"/>
    <w:rsid w:val="0DB44F15"/>
    <w:rsid w:val="0DB51551"/>
    <w:rsid w:val="0DB76EF8"/>
    <w:rsid w:val="0DB8079D"/>
    <w:rsid w:val="0DB91E02"/>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C619F"/>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147AB"/>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3F1AA3"/>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9A4F2B"/>
    <w:rsid w:val="0FA11695"/>
    <w:rsid w:val="0FA26E81"/>
    <w:rsid w:val="0FA615E1"/>
    <w:rsid w:val="0FAC5576"/>
    <w:rsid w:val="0FAD0019"/>
    <w:rsid w:val="0FAD3299"/>
    <w:rsid w:val="0FAD3F5A"/>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10036C5E"/>
    <w:rsid w:val="10045EE6"/>
    <w:rsid w:val="10060813"/>
    <w:rsid w:val="10071FE5"/>
    <w:rsid w:val="1008458B"/>
    <w:rsid w:val="10090303"/>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10C4"/>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2DD6"/>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1A4C"/>
    <w:rsid w:val="123A52C3"/>
    <w:rsid w:val="123C2565"/>
    <w:rsid w:val="123C3AE0"/>
    <w:rsid w:val="123E0CDC"/>
    <w:rsid w:val="1248152F"/>
    <w:rsid w:val="124841D3"/>
    <w:rsid w:val="12486EC1"/>
    <w:rsid w:val="12497A85"/>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AF316D"/>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F0723"/>
    <w:rsid w:val="1357258A"/>
    <w:rsid w:val="13573133"/>
    <w:rsid w:val="135845C3"/>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B08A6"/>
    <w:rsid w:val="141D437D"/>
    <w:rsid w:val="14200B1E"/>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24FDC"/>
    <w:rsid w:val="15C4476E"/>
    <w:rsid w:val="15C61DCD"/>
    <w:rsid w:val="15C70A44"/>
    <w:rsid w:val="15CB73D1"/>
    <w:rsid w:val="15D4474D"/>
    <w:rsid w:val="15D65753"/>
    <w:rsid w:val="15D7597F"/>
    <w:rsid w:val="15DD2016"/>
    <w:rsid w:val="15E32BB5"/>
    <w:rsid w:val="15E73FF8"/>
    <w:rsid w:val="15F5110D"/>
    <w:rsid w:val="15F53F0F"/>
    <w:rsid w:val="15F5735F"/>
    <w:rsid w:val="15FA64BF"/>
    <w:rsid w:val="15FA6724"/>
    <w:rsid w:val="160A3803"/>
    <w:rsid w:val="160B5ABA"/>
    <w:rsid w:val="160C437B"/>
    <w:rsid w:val="161033BE"/>
    <w:rsid w:val="16147F08"/>
    <w:rsid w:val="161533B2"/>
    <w:rsid w:val="16160429"/>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73D30"/>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35AAC"/>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E3A27"/>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C1DBE"/>
    <w:rsid w:val="186C5153"/>
    <w:rsid w:val="186E738D"/>
    <w:rsid w:val="186F199F"/>
    <w:rsid w:val="186F36A8"/>
    <w:rsid w:val="187640ED"/>
    <w:rsid w:val="187E07E4"/>
    <w:rsid w:val="18804AA7"/>
    <w:rsid w:val="18850ACD"/>
    <w:rsid w:val="18893D8F"/>
    <w:rsid w:val="188A6B3F"/>
    <w:rsid w:val="188C347D"/>
    <w:rsid w:val="188C4F53"/>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607E3"/>
    <w:rsid w:val="1B5D3106"/>
    <w:rsid w:val="1B66485B"/>
    <w:rsid w:val="1B664E08"/>
    <w:rsid w:val="1B707488"/>
    <w:rsid w:val="1B716075"/>
    <w:rsid w:val="1B73181B"/>
    <w:rsid w:val="1B7906CE"/>
    <w:rsid w:val="1B7D07F3"/>
    <w:rsid w:val="1B831B2B"/>
    <w:rsid w:val="1B853A57"/>
    <w:rsid w:val="1B8D1DE8"/>
    <w:rsid w:val="1B913FB9"/>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746DD"/>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C44F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BF7012"/>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C2005"/>
    <w:rsid w:val="20402758"/>
    <w:rsid w:val="20417F77"/>
    <w:rsid w:val="20420995"/>
    <w:rsid w:val="20447B3E"/>
    <w:rsid w:val="204619A3"/>
    <w:rsid w:val="20494F9C"/>
    <w:rsid w:val="204D7AED"/>
    <w:rsid w:val="204F595B"/>
    <w:rsid w:val="20532924"/>
    <w:rsid w:val="20580C17"/>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A613F"/>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F2C6B"/>
    <w:rsid w:val="23DF33FD"/>
    <w:rsid w:val="23E14E6C"/>
    <w:rsid w:val="23E173A1"/>
    <w:rsid w:val="23E32EED"/>
    <w:rsid w:val="23E3610D"/>
    <w:rsid w:val="23E46C65"/>
    <w:rsid w:val="23E52298"/>
    <w:rsid w:val="23E94462"/>
    <w:rsid w:val="23EF08C8"/>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76BDB"/>
    <w:rsid w:val="24B9237A"/>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15468"/>
    <w:rsid w:val="26472F6E"/>
    <w:rsid w:val="264F2FA3"/>
    <w:rsid w:val="26510DB8"/>
    <w:rsid w:val="26531A21"/>
    <w:rsid w:val="265559D0"/>
    <w:rsid w:val="2656452D"/>
    <w:rsid w:val="265A4DDA"/>
    <w:rsid w:val="266239C5"/>
    <w:rsid w:val="26626905"/>
    <w:rsid w:val="2666570F"/>
    <w:rsid w:val="26667EB2"/>
    <w:rsid w:val="26681488"/>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A5D64"/>
    <w:rsid w:val="26BC1520"/>
    <w:rsid w:val="26BD1ECD"/>
    <w:rsid w:val="26C36DE5"/>
    <w:rsid w:val="26C863CA"/>
    <w:rsid w:val="26C9404D"/>
    <w:rsid w:val="26CC0194"/>
    <w:rsid w:val="26CD53A8"/>
    <w:rsid w:val="26D02567"/>
    <w:rsid w:val="26D323BB"/>
    <w:rsid w:val="26D45590"/>
    <w:rsid w:val="26D83439"/>
    <w:rsid w:val="26DB67F4"/>
    <w:rsid w:val="26E34EAD"/>
    <w:rsid w:val="26E53AE2"/>
    <w:rsid w:val="26E66850"/>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5F6280"/>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BD1CA7"/>
    <w:rsid w:val="27C06D17"/>
    <w:rsid w:val="27C66099"/>
    <w:rsid w:val="27C70430"/>
    <w:rsid w:val="27CA7CDA"/>
    <w:rsid w:val="27D30C3C"/>
    <w:rsid w:val="27D747BE"/>
    <w:rsid w:val="27DF1D24"/>
    <w:rsid w:val="27E30D7E"/>
    <w:rsid w:val="27E36678"/>
    <w:rsid w:val="27E43C95"/>
    <w:rsid w:val="27E60CAF"/>
    <w:rsid w:val="27EC6404"/>
    <w:rsid w:val="27F07B94"/>
    <w:rsid w:val="27F20EFC"/>
    <w:rsid w:val="27FB11A8"/>
    <w:rsid w:val="27FB4685"/>
    <w:rsid w:val="27FE4240"/>
    <w:rsid w:val="27FF2D7D"/>
    <w:rsid w:val="280008FF"/>
    <w:rsid w:val="28050D91"/>
    <w:rsid w:val="28081174"/>
    <w:rsid w:val="280A73A7"/>
    <w:rsid w:val="280B0292"/>
    <w:rsid w:val="281035C6"/>
    <w:rsid w:val="28140E2A"/>
    <w:rsid w:val="28174CD6"/>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3E23F1"/>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86FC6"/>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7D127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52E64"/>
    <w:rsid w:val="2AD62AB0"/>
    <w:rsid w:val="2ADC1447"/>
    <w:rsid w:val="2ADE1583"/>
    <w:rsid w:val="2AE70523"/>
    <w:rsid w:val="2AE8528D"/>
    <w:rsid w:val="2AE87E10"/>
    <w:rsid w:val="2AF12CDF"/>
    <w:rsid w:val="2AF27DCB"/>
    <w:rsid w:val="2AF92B4F"/>
    <w:rsid w:val="2AFC13F9"/>
    <w:rsid w:val="2AFC24E6"/>
    <w:rsid w:val="2AFC4894"/>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47F71"/>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6B68DB"/>
    <w:rsid w:val="2C72088D"/>
    <w:rsid w:val="2C7A3BB0"/>
    <w:rsid w:val="2C7A4688"/>
    <w:rsid w:val="2C7B3727"/>
    <w:rsid w:val="2C7C5C8D"/>
    <w:rsid w:val="2C7D6665"/>
    <w:rsid w:val="2C7E0668"/>
    <w:rsid w:val="2C7E4570"/>
    <w:rsid w:val="2C8114F5"/>
    <w:rsid w:val="2C865A05"/>
    <w:rsid w:val="2C8965FC"/>
    <w:rsid w:val="2C8B0557"/>
    <w:rsid w:val="2C8B5ED0"/>
    <w:rsid w:val="2C982697"/>
    <w:rsid w:val="2C987164"/>
    <w:rsid w:val="2C9A28D3"/>
    <w:rsid w:val="2C9F1C78"/>
    <w:rsid w:val="2CA34EDF"/>
    <w:rsid w:val="2CAA26C8"/>
    <w:rsid w:val="2CBC4209"/>
    <w:rsid w:val="2CC12D54"/>
    <w:rsid w:val="2CC50952"/>
    <w:rsid w:val="2CC9742A"/>
    <w:rsid w:val="2CCB1415"/>
    <w:rsid w:val="2CCB3003"/>
    <w:rsid w:val="2CD17849"/>
    <w:rsid w:val="2CD27B2F"/>
    <w:rsid w:val="2CD47078"/>
    <w:rsid w:val="2CDA4FDA"/>
    <w:rsid w:val="2CDC7091"/>
    <w:rsid w:val="2CE128DC"/>
    <w:rsid w:val="2CE16D71"/>
    <w:rsid w:val="2CE27F26"/>
    <w:rsid w:val="2CEB4BC0"/>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22C6E"/>
    <w:rsid w:val="2D145154"/>
    <w:rsid w:val="2D1A1A6B"/>
    <w:rsid w:val="2D1A4915"/>
    <w:rsid w:val="2D1C670F"/>
    <w:rsid w:val="2D20185A"/>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6092E"/>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A131C"/>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4482E"/>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765AB"/>
    <w:rsid w:val="2EB941A6"/>
    <w:rsid w:val="2EC414ED"/>
    <w:rsid w:val="2EC71A13"/>
    <w:rsid w:val="2EC722DC"/>
    <w:rsid w:val="2EC9437A"/>
    <w:rsid w:val="2ECD0A22"/>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60A3"/>
    <w:rsid w:val="2F083808"/>
    <w:rsid w:val="2F1228D8"/>
    <w:rsid w:val="2F18561C"/>
    <w:rsid w:val="2F1A491A"/>
    <w:rsid w:val="2F1C3DF5"/>
    <w:rsid w:val="2F212728"/>
    <w:rsid w:val="2F261EE0"/>
    <w:rsid w:val="2F263B51"/>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270A"/>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E3742"/>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B20F0"/>
    <w:rsid w:val="305F558E"/>
    <w:rsid w:val="3065119A"/>
    <w:rsid w:val="306A678C"/>
    <w:rsid w:val="306B4848"/>
    <w:rsid w:val="30752E77"/>
    <w:rsid w:val="3079550C"/>
    <w:rsid w:val="308018A6"/>
    <w:rsid w:val="30804E19"/>
    <w:rsid w:val="30896BCA"/>
    <w:rsid w:val="3090288F"/>
    <w:rsid w:val="30914A29"/>
    <w:rsid w:val="309219BB"/>
    <w:rsid w:val="30921E98"/>
    <w:rsid w:val="3097567B"/>
    <w:rsid w:val="30980DA8"/>
    <w:rsid w:val="309B0CFB"/>
    <w:rsid w:val="309B2EEC"/>
    <w:rsid w:val="309E4272"/>
    <w:rsid w:val="309F0473"/>
    <w:rsid w:val="30A12166"/>
    <w:rsid w:val="30A25EDE"/>
    <w:rsid w:val="30A9101A"/>
    <w:rsid w:val="30AC7BE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653A0"/>
    <w:rsid w:val="31794E91"/>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732C3"/>
    <w:rsid w:val="31BE79F2"/>
    <w:rsid w:val="31C003CA"/>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40DB8"/>
    <w:rsid w:val="3238698E"/>
    <w:rsid w:val="32390E17"/>
    <w:rsid w:val="323E5B9E"/>
    <w:rsid w:val="32460A89"/>
    <w:rsid w:val="324803BF"/>
    <w:rsid w:val="324968A9"/>
    <w:rsid w:val="324C11A1"/>
    <w:rsid w:val="324F1DD8"/>
    <w:rsid w:val="3250624E"/>
    <w:rsid w:val="32513718"/>
    <w:rsid w:val="32515BC8"/>
    <w:rsid w:val="32530F81"/>
    <w:rsid w:val="32544043"/>
    <w:rsid w:val="32560524"/>
    <w:rsid w:val="325614E5"/>
    <w:rsid w:val="32576A33"/>
    <w:rsid w:val="3259293C"/>
    <w:rsid w:val="325A081E"/>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81D7B"/>
    <w:rsid w:val="32D90DC0"/>
    <w:rsid w:val="32DE353D"/>
    <w:rsid w:val="32DE7134"/>
    <w:rsid w:val="32E148E8"/>
    <w:rsid w:val="32E343F6"/>
    <w:rsid w:val="32E921F0"/>
    <w:rsid w:val="32F76D5D"/>
    <w:rsid w:val="32F825DE"/>
    <w:rsid w:val="32F86450"/>
    <w:rsid w:val="32FD662B"/>
    <w:rsid w:val="330066D7"/>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169F3"/>
    <w:rsid w:val="33384FDF"/>
    <w:rsid w:val="333A0536"/>
    <w:rsid w:val="333E0FE1"/>
    <w:rsid w:val="333F0B89"/>
    <w:rsid w:val="333F4C47"/>
    <w:rsid w:val="333F6941"/>
    <w:rsid w:val="33444CAD"/>
    <w:rsid w:val="334A4431"/>
    <w:rsid w:val="334D7767"/>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A094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C34B5"/>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153E0"/>
    <w:rsid w:val="35134CB4"/>
    <w:rsid w:val="351B6F23"/>
    <w:rsid w:val="351C075B"/>
    <w:rsid w:val="351E33A2"/>
    <w:rsid w:val="351F3659"/>
    <w:rsid w:val="351F5D4F"/>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1AD9"/>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B1DD0"/>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31C9"/>
    <w:rsid w:val="37694B0E"/>
    <w:rsid w:val="376B106B"/>
    <w:rsid w:val="377963D6"/>
    <w:rsid w:val="37796963"/>
    <w:rsid w:val="37797999"/>
    <w:rsid w:val="377A5D14"/>
    <w:rsid w:val="378075A4"/>
    <w:rsid w:val="3781684D"/>
    <w:rsid w:val="378325C5"/>
    <w:rsid w:val="3783595B"/>
    <w:rsid w:val="37840F0B"/>
    <w:rsid w:val="378772DD"/>
    <w:rsid w:val="378917C1"/>
    <w:rsid w:val="37895702"/>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A1680"/>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AB5E03"/>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0F23C2"/>
    <w:rsid w:val="3B130528"/>
    <w:rsid w:val="3B1703B9"/>
    <w:rsid w:val="3B185C9C"/>
    <w:rsid w:val="3B1860E7"/>
    <w:rsid w:val="3B1B0093"/>
    <w:rsid w:val="3B1D6A80"/>
    <w:rsid w:val="3B1E43B3"/>
    <w:rsid w:val="3B201ED9"/>
    <w:rsid w:val="3B225CA4"/>
    <w:rsid w:val="3B2356A8"/>
    <w:rsid w:val="3B247C1B"/>
    <w:rsid w:val="3B251346"/>
    <w:rsid w:val="3B2806D1"/>
    <w:rsid w:val="3B2908B6"/>
    <w:rsid w:val="3B2D161A"/>
    <w:rsid w:val="3B2F1534"/>
    <w:rsid w:val="3B3A132E"/>
    <w:rsid w:val="3B456D7F"/>
    <w:rsid w:val="3B4A51A8"/>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63E37"/>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C6BB9"/>
    <w:rsid w:val="3D0D46DF"/>
    <w:rsid w:val="3D0F1231"/>
    <w:rsid w:val="3D130342"/>
    <w:rsid w:val="3D163A6F"/>
    <w:rsid w:val="3D184661"/>
    <w:rsid w:val="3D200D7C"/>
    <w:rsid w:val="3D233D0C"/>
    <w:rsid w:val="3D272F24"/>
    <w:rsid w:val="3D295FC7"/>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71ADE"/>
    <w:rsid w:val="3EFB57DC"/>
    <w:rsid w:val="3EFE55C6"/>
    <w:rsid w:val="3F010273"/>
    <w:rsid w:val="3F03223E"/>
    <w:rsid w:val="3F0572F1"/>
    <w:rsid w:val="3F0B4668"/>
    <w:rsid w:val="3F1424B4"/>
    <w:rsid w:val="3F144192"/>
    <w:rsid w:val="3F171845"/>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5F68E1"/>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B0E77"/>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415CD"/>
    <w:rsid w:val="41B730A3"/>
    <w:rsid w:val="41B737E0"/>
    <w:rsid w:val="41B77B6D"/>
    <w:rsid w:val="41B822D8"/>
    <w:rsid w:val="41BA081E"/>
    <w:rsid w:val="41C06F9B"/>
    <w:rsid w:val="41C20F3F"/>
    <w:rsid w:val="41CF504E"/>
    <w:rsid w:val="41D1580B"/>
    <w:rsid w:val="41D57639"/>
    <w:rsid w:val="41D6060E"/>
    <w:rsid w:val="41DA54D8"/>
    <w:rsid w:val="41DC5EDF"/>
    <w:rsid w:val="41DD05DE"/>
    <w:rsid w:val="41E4117E"/>
    <w:rsid w:val="41E41803"/>
    <w:rsid w:val="41E52CA5"/>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04EF4"/>
    <w:rsid w:val="4253528A"/>
    <w:rsid w:val="42552CD5"/>
    <w:rsid w:val="42571AE1"/>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2782"/>
    <w:rsid w:val="4325395F"/>
    <w:rsid w:val="43256A94"/>
    <w:rsid w:val="432B0FC9"/>
    <w:rsid w:val="432E5E21"/>
    <w:rsid w:val="432F4EDA"/>
    <w:rsid w:val="4334749B"/>
    <w:rsid w:val="43364990"/>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E03B8F"/>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66E54"/>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08410A"/>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16BF2"/>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57180"/>
    <w:rsid w:val="46365246"/>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9F45FA"/>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B7211"/>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7DBB"/>
    <w:rsid w:val="49F7729C"/>
    <w:rsid w:val="49FA57FE"/>
    <w:rsid w:val="49FA5FEB"/>
    <w:rsid w:val="49FE5ADB"/>
    <w:rsid w:val="4A0238A8"/>
    <w:rsid w:val="4A0573EC"/>
    <w:rsid w:val="4A06116C"/>
    <w:rsid w:val="4A070E8E"/>
    <w:rsid w:val="4A09499E"/>
    <w:rsid w:val="4A123335"/>
    <w:rsid w:val="4A14785B"/>
    <w:rsid w:val="4A1611C1"/>
    <w:rsid w:val="4A175A09"/>
    <w:rsid w:val="4A19214F"/>
    <w:rsid w:val="4A1A5F35"/>
    <w:rsid w:val="4A1F7925"/>
    <w:rsid w:val="4A2322DF"/>
    <w:rsid w:val="4A293841"/>
    <w:rsid w:val="4A294597"/>
    <w:rsid w:val="4A2A2D74"/>
    <w:rsid w:val="4A2D3660"/>
    <w:rsid w:val="4A2E7749"/>
    <w:rsid w:val="4A325785"/>
    <w:rsid w:val="4A381BA6"/>
    <w:rsid w:val="4A3926E2"/>
    <w:rsid w:val="4A4060F4"/>
    <w:rsid w:val="4A4172CE"/>
    <w:rsid w:val="4A43236C"/>
    <w:rsid w:val="4A4A176A"/>
    <w:rsid w:val="4A513E5D"/>
    <w:rsid w:val="4A5370A6"/>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97A9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CF19AB"/>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3693A"/>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71778"/>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359CC"/>
    <w:rsid w:val="4C9538F4"/>
    <w:rsid w:val="4C974009"/>
    <w:rsid w:val="4C987412"/>
    <w:rsid w:val="4C9C23CF"/>
    <w:rsid w:val="4CA6111C"/>
    <w:rsid w:val="4CA63DE7"/>
    <w:rsid w:val="4CA867B8"/>
    <w:rsid w:val="4CB052E1"/>
    <w:rsid w:val="4CB3742C"/>
    <w:rsid w:val="4CB50036"/>
    <w:rsid w:val="4CB63E1D"/>
    <w:rsid w:val="4CB86467"/>
    <w:rsid w:val="4CB9218D"/>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545C"/>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12FDA"/>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A2A5E"/>
    <w:rsid w:val="4DFB331A"/>
    <w:rsid w:val="4E007E98"/>
    <w:rsid w:val="4E016672"/>
    <w:rsid w:val="4E066F25"/>
    <w:rsid w:val="4E0939E5"/>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D1400"/>
    <w:rsid w:val="4F1D1653"/>
    <w:rsid w:val="4F2064F4"/>
    <w:rsid w:val="4F2935FA"/>
    <w:rsid w:val="4F2C365D"/>
    <w:rsid w:val="4F311488"/>
    <w:rsid w:val="4F36758C"/>
    <w:rsid w:val="4F376D93"/>
    <w:rsid w:val="4F3957DF"/>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2EEC"/>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45C43"/>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F0A29"/>
    <w:rsid w:val="514F1F93"/>
    <w:rsid w:val="515361F4"/>
    <w:rsid w:val="515529BB"/>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76F41"/>
    <w:rsid w:val="5199124A"/>
    <w:rsid w:val="519B6306"/>
    <w:rsid w:val="519D2F03"/>
    <w:rsid w:val="51AA27FB"/>
    <w:rsid w:val="51AB0562"/>
    <w:rsid w:val="51AD6F40"/>
    <w:rsid w:val="51AE5103"/>
    <w:rsid w:val="51B66C9C"/>
    <w:rsid w:val="51B80C66"/>
    <w:rsid w:val="51BE2EAE"/>
    <w:rsid w:val="51C01AA5"/>
    <w:rsid w:val="51C047F4"/>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656F"/>
    <w:rsid w:val="521C5D43"/>
    <w:rsid w:val="521D1F17"/>
    <w:rsid w:val="521D7ED7"/>
    <w:rsid w:val="5221680B"/>
    <w:rsid w:val="52216835"/>
    <w:rsid w:val="52233879"/>
    <w:rsid w:val="522462FB"/>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17F8"/>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611D5"/>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724CF"/>
    <w:rsid w:val="546B1EE3"/>
    <w:rsid w:val="54757648"/>
    <w:rsid w:val="5478695B"/>
    <w:rsid w:val="54860559"/>
    <w:rsid w:val="548810E8"/>
    <w:rsid w:val="5489220D"/>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E599A"/>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3A4F"/>
    <w:rsid w:val="569357FD"/>
    <w:rsid w:val="56955A19"/>
    <w:rsid w:val="56A032E3"/>
    <w:rsid w:val="56A04928"/>
    <w:rsid w:val="56A418DC"/>
    <w:rsid w:val="56A50EBB"/>
    <w:rsid w:val="56A83AE3"/>
    <w:rsid w:val="56A874FB"/>
    <w:rsid w:val="56A9624D"/>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648C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65868"/>
    <w:rsid w:val="57780ED4"/>
    <w:rsid w:val="577E025B"/>
    <w:rsid w:val="577E3A90"/>
    <w:rsid w:val="57886A0D"/>
    <w:rsid w:val="57896321"/>
    <w:rsid w:val="578B78A1"/>
    <w:rsid w:val="57903D73"/>
    <w:rsid w:val="579161E1"/>
    <w:rsid w:val="57955219"/>
    <w:rsid w:val="5797054C"/>
    <w:rsid w:val="57996E43"/>
    <w:rsid w:val="579A7C07"/>
    <w:rsid w:val="579F309F"/>
    <w:rsid w:val="57A46FEE"/>
    <w:rsid w:val="57AA5A5F"/>
    <w:rsid w:val="57AE6D93"/>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54B31"/>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84D94"/>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260C8"/>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6F2B20"/>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A56C3"/>
    <w:rsid w:val="5D9F6617"/>
    <w:rsid w:val="5D9F7C74"/>
    <w:rsid w:val="5DA0469F"/>
    <w:rsid w:val="5DA65D35"/>
    <w:rsid w:val="5DAE2E8C"/>
    <w:rsid w:val="5DAE7F34"/>
    <w:rsid w:val="5DB20C5F"/>
    <w:rsid w:val="5DB42E5D"/>
    <w:rsid w:val="5DB65502"/>
    <w:rsid w:val="5DB906BB"/>
    <w:rsid w:val="5DBB1EB0"/>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3D70F6"/>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B72A3"/>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83F3E"/>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93683"/>
    <w:rsid w:val="5FBF1411"/>
    <w:rsid w:val="5FBF3440"/>
    <w:rsid w:val="5FC53509"/>
    <w:rsid w:val="5FC573AD"/>
    <w:rsid w:val="5FCC5D9F"/>
    <w:rsid w:val="5FCE503A"/>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5151A"/>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5B1F45"/>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3609"/>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709F"/>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CD2097"/>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E263F4"/>
    <w:rsid w:val="63E418C9"/>
    <w:rsid w:val="63EC772F"/>
    <w:rsid w:val="63F43D7F"/>
    <w:rsid w:val="63F55755"/>
    <w:rsid w:val="63F64591"/>
    <w:rsid w:val="63FB6EC6"/>
    <w:rsid w:val="63FD7654"/>
    <w:rsid w:val="640A7217"/>
    <w:rsid w:val="640C2BB6"/>
    <w:rsid w:val="6411454E"/>
    <w:rsid w:val="64177A6E"/>
    <w:rsid w:val="641E06EB"/>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D7D7F"/>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F307E"/>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600D3"/>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8147F"/>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727620"/>
    <w:rsid w:val="66763EED"/>
    <w:rsid w:val="66782A0E"/>
    <w:rsid w:val="667930F9"/>
    <w:rsid w:val="6679372B"/>
    <w:rsid w:val="667B3C56"/>
    <w:rsid w:val="66822EA8"/>
    <w:rsid w:val="668313EA"/>
    <w:rsid w:val="668B6CBD"/>
    <w:rsid w:val="66953491"/>
    <w:rsid w:val="66980BF6"/>
    <w:rsid w:val="66983372"/>
    <w:rsid w:val="669C52CA"/>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6759E"/>
    <w:rsid w:val="67B861F9"/>
    <w:rsid w:val="67C149C0"/>
    <w:rsid w:val="67C717AB"/>
    <w:rsid w:val="67C73559"/>
    <w:rsid w:val="67C7427D"/>
    <w:rsid w:val="67CA7967"/>
    <w:rsid w:val="67CC38C5"/>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769C"/>
    <w:rsid w:val="68873690"/>
    <w:rsid w:val="68931D28"/>
    <w:rsid w:val="689B3E14"/>
    <w:rsid w:val="689B7663"/>
    <w:rsid w:val="689C5C1D"/>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41664"/>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922A9"/>
    <w:rsid w:val="6A2A46CE"/>
    <w:rsid w:val="6A2C7141"/>
    <w:rsid w:val="6A2F0AD2"/>
    <w:rsid w:val="6A2F521E"/>
    <w:rsid w:val="6A3A1167"/>
    <w:rsid w:val="6A3D030C"/>
    <w:rsid w:val="6A3F4FDB"/>
    <w:rsid w:val="6A4F4F6F"/>
    <w:rsid w:val="6A507835"/>
    <w:rsid w:val="6A532FF6"/>
    <w:rsid w:val="6A5517C8"/>
    <w:rsid w:val="6A5B0A88"/>
    <w:rsid w:val="6A601C8F"/>
    <w:rsid w:val="6A621876"/>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401DE"/>
    <w:rsid w:val="6A960003"/>
    <w:rsid w:val="6A9B5915"/>
    <w:rsid w:val="6A9B7735"/>
    <w:rsid w:val="6AA02774"/>
    <w:rsid w:val="6AA258AD"/>
    <w:rsid w:val="6AA41157"/>
    <w:rsid w:val="6AAB2AD1"/>
    <w:rsid w:val="6AAC1F66"/>
    <w:rsid w:val="6AAE5F36"/>
    <w:rsid w:val="6AAF2259"/>
    <w:rsid w:val="6AB45A03"/>
    <w:rsid w:val="6AB9187F"/>
    <w:rsid w:val="6ABA6B4B"/>
    <w:rsid w:val="6ABE4FFD"/>
    <w:rsid w:val="6ACC53C2"/>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A3EFD"/>
    <w:rsid w:val="6BFC2657"/>
    <w:rsid w:val="6C06150E"/>
    <w:rsid w:val="6C1407B4"/>
    <w:rsid w:val="6C150C0B"/>
    <w:rsid w:val="6C155F31"/>
    <w:rsid w:val="6C206E21"/>
    <w:rsid w:val="6C263A06"/>
    <w:rsid w:val="6C265F77"/>
    <w:rsid w:val="6C3A624E"/>
    <w:rsid w:val="6C3F0E82"/>
    <w:rsid w:val="6C3F4795"/>
    <w:rsid w:val="6C431738"/>
    <w:rsid w:val="6C442E2D"/>
    <w:rsid w:val="6C4B106D"/>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6C306E"/>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948CB"/>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3B4F58"/>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D5088"/>
    <w:rsid w:val="6F966E91"/>
    <w:rsid w:val="6F967ACA"/>
    <w:rsid w:val="6F9A4660"/>
    <w:rsid w:val="6F9C5D71"/>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C1DAE"/>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3736"/>
    <w:rsid w:val="70494AF1"/>
    <w:rsid w:val="704A6916"/>
    <w:rsid w:val="7054528E"/>
    <w:rsid w:val="70555B90"/>
    <w:rsid w:val="705C5D99"/>
    <w:rsid w:val="705E76BE"/>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A41FC"/>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2215A"/>
    <w:rsid w:val="72430835"/>
    <w:rsid w:val="72444124"/>
    <w:rsid w:val="724A1C04"/>
    <w:rsid w:val="724D4B1D"/>
    <w:rsid w:val="724E54F1"/>
    <w:rsid w:val="724E6D50"/>
    <w:rsid w:val="7254202A"/>
    <w:rsid w:val="72563D67"/>
    <w:rsid w:val="725717D2"/>
    <w:rsid w:val="725D29D6"/>
    <w:rsid w:val="725E4102"/>
    <w:rsid w:val="72600832"/>
    <w:rsid w:val="72606A84"/>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62B48"/>
    <w:rsid w:val="72B751B8"/>
    <w:rsid w:val="72BE13CE"/>
    <w:rsid w:val="72BE6371"/>
    <w:rsid w:val="72BF25A6"/>
    <w:rsid w:val="72C221EC"/>
    <w:rsid w:val="72C60FDD"/>
    <w:rsid w:val="72CD3683"/>
    <w:rsid w:val="72CE3184"/>
    <w:rsid w:val="72CE7D06"/>
    <w:rsid w:val="72CF40C2"/>
    <w:rsid w:val="72D456A5"/>
    <w:rsid w:val="72E43211"/>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CF5C6F"/>
    <w:rsid w:val="73D260A7"/>
    <w:rsid w:val="73D47729"/>
    <w:rsid w:val="73D634A1"/>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66405"/>
    <w:rsid w:val="7548217D"/>
    <w:rsid w:val="7554481F"/>
    <w:rsid w:val="75594581"/>
    <w:rsid w:val="755A35FA"/>
    <w:rsid w:val="755A5494"/>
    <w:rsid w:val="755D0BC4"/>
    <w:rsid w:val="755D54FC"/>
    <w:rsid w:val="75625A16"/>
    <w:rsid w:val="7564200E"/>
    <w:rsid w:val="75644ADD"/>
    <w:rsid w:val="75663FD1"/>
    <w:rsid w:val="75677137"/>
    <w:rsid w:val="75696461"/>
    <w:rsid w:val="756D573F"/>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5FE5C0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21D2"/>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B4AF5"/>
    <w:rsid w:val="78FC7FC2"/>
    <w:rsid w:val="79017595"/>
    <w:rsid w:val="79042DE3"/>
    <w:rsid w:val="79077C59"/>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9686F"/>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3709D"/>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CE4C1B"/>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AF05A8"/>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2F4C29"/>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A7F56"/>
    <w:rsid w:val="7CCE6E72"/>
    <w:rsid w:val="7CCF1812"/>
    <w:rsid w:val="7CD72F9B"/>
    <w:rsid w:val="7CDB38D7"/>
    <w:rsid w:val="7CDF394D"/>
    <w:rsid w:val="7CE014F4"/>
    <w:rsid w:val="7CE146B6"/>
    <w:rsid w:val="7CE65C11"/>
    <w:rsid w:val="7CE70935"/>
    <w:rsid w:val="7CE95686"/>
    <w:rsid w:val="7CED53B8"/>
    <w:rsid w:val="7CF31FF6"/>
    <w:rsid w:val="7CF44998"/>
    <w:rsid w:val="7CF52871"/>
    <w:rsid w:val="7CF65CAB"/>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76F18"/>
    <w:rsid w:val="7D686C63"/>
    <w:rsid w:val="7D69117D"/>
    <w:rsid w:val="7D696CB2"/>
    <w:rsid w:val="7D6B4608"/>
    <w:rsid w:val="7D6F06CE"/>
    <w:rsid w:val="7D781125"/>
    <w:rsid w:val="7D7A555A"/>
    <w:rsid w:val="7D7F5298"/>
    <w:rsid w:val="7D8362BA"/>
    <w:rsid w:val="7D8835D1"/>
    <w:rsid w:val="7D885FC9"/>
    <w:rsid w:val="7D893A8E"/>
    <w:rsid w:val="7D8B7B1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26C41"/>
    <w:rsid w:val="7E043ED9"/>
    <w:rsid w:val="7E050BC3"/>
    <w:rsid w:val="7E0866D3"/>
    <w:rsid w:val="7E104623"/>
    <w:rsid w:val="7E1150D6"/>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9044A6"/>
    <w:rsid w:val="7E922E52"/>
    <w:rsid w:val="7E957AB5"/>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C7492"/>
    <w:rsid w:val="7EDE52DA"/>
    <w:rsid w:val="7EE051D4"/>
    <w:rsid w:val="7EE53087"/>
    <w:rsid w:val="7EE92EC4"/>
    <w:rsid w:val="7EEB1AD7"/>
    <w:rsid w:val="7EEC4A0C"/>
    <w:rsid w:val="7EEE6D13"/>
    <w:rsid w:val="7EEF5C7E"/>
    <w:rsid w:val="7EF06DAD"/>
    <w:rsid w:val="7EF34983"/>
    <w:rsid w:val="7EF42A2E"/>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D10FC1"/>
    <w:rsid w:val="7FD277AE"/>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711</Words>
  <Characters>3586</Characters>
  <Lines>82</Lines>
  <Paragraphs>23</Paragraphs>
  <TotalTime>2</TotalTime>
  <ScaleCrop>false</ScaleCrop>
  <LinksUpToDate>false</LinksUpToDate>
  <CharactersWithSpaces>4320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2025-11-07T13:57:21Z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